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RechKredV — Zusätzliche Pflichtangaben</w:t>
      </w:r>
    </w:p>
    <w:p>
      <w:r>
        <w:rPr>
          <w:color w:val="555555"/>
          <w:sz w:val="18"/>
        </w:rPr>
        <w:t xml:space="preserve">Kreditinstituts-Rechnungslegungsverordnung</w:t>
      </w:r>
    </w:p>
    <w:p>
      <w:r>
        <w:rPr>
          <w:color w:val="555555"/>
          <w:sz w:val="18"/>
        </w:rPr>
        <w:t xml:space="preserve">Stand: 10.06.2019 (konsolidierte Textfassung, kein amtliches Inkrafttretensdatum)</w:t>
      </w:r>
    </w:p>
    <w:p>
      <w:r>
        <w:t xml:space="preserve">(1) Zu den Posten der Bilanz und der Gewinn- und Verlustrechnung sind im Anhang anzugeben:</w:t>
      </w:r>
    </w:p>
    <w:p>
      <w:pPr>
        <w:ind w:left="420"/>
      </w:pPr>
      <w:r>
        <w:t xml:space="preserve">1. eine Aufgliederung der in den Bilanzposten "Schuldverschreibungen und andere festverzinsliche Wertpapiere" (Aktivposten Nr. 5), "Aktien und andere nicht festverzinsliche Wertpapiere" (Aktivposten Nr. 6), "Beteiligungen" (Aktivposten Nr. 7), "Anteile an verbundenen Unternehmen" (Aktivposten Nr. 8) enthaltenen börsenfähigen Wertpapiere nach börsennotierten und nicht börsennotierten Wertpapieren;</w:t>
      </w:r>
    </w:p>
    <w:p>
      <w:pPr>
        <w:ind w:left="420"/>
      </w:pPr>
      <w:r>
        <w:t xml:space="preserve">1a. eine Aufgliederung des Bilanzpostens „Handelsbestand“ (Aktivposten Nr. 6a) in derivative Finanzinstrumente, Forderungen, Schuldverschreibungen und andere festverzinsliche Wertpapiere, Aktien und andere nicht festverzinsliche Wertpapiere sowie sonstige Vermögensgegenstände und eine Aufgliederung des Bilanzpostens „Handelsbestand“ (Passivposten Nr. 3a) in derivative Finanzinstrumente und Verbindlichkeiten;</w:t>
      </w:r>
    </w:p>
    <w:p>
      <w:pPr>
        <w:ind w:left="420"/>
      </w:pPr>
      <w:r>
        <w:t xml:space="preserve">2. der Betrag der nicht mit dem Niederstwert bewerteten börsenfähigen Wertpapiere jeweils zu folgenden Posten der Bilanz "Schuldverschreibungen und andere festverzinsliche Wertpapiere" (Aktivposten Nr. 5) sowie "Aktien und andere nicht festverzinsliche Wertpapiere" (Aktivposten Nr. 6); es ist anzugeben, in welcher Weise die so bewerteten Wertpapiere von den mit dem Niederstwert bewerteten börsenfähigen Wertpapieren abgegrenzt worden sind;</w:t>
      </w:r>
    </w:p>
    <w:p>
      <w:pPr>
        <w:ind w:left="420"/>
      </w:pPr>
      <w:r>
        <w:t xml:space="preserve">3. der auf das Leasing-Geschäft entfallende Betrag zu jedem davon betroffenen Posten der Bilanz, ferner die im Posten "Abschreibungen und Wertberichtigungen auf immaterielle Anlagewerte und Sachanlagen" (Formblatt 2 Spalte Aufwendungen Nr. 5, Formblatt 3 Nr. 11) enthaltenen Abschreibungen und Wertberichtigungen auf Leasinggegenstände sowie die im Posten "Sonstige betriebliche Erträge" (Formblatt 2 Spalte Erträge Nr. 8, Formblatt 3 Nr. 8) enthaltenen Erträge aus Leasinggeschäften;</w:t>
      </w:r>
    </w:p>
    <w:p>
      <w:pPr>
        <w:ind w:left="420"/>
      </w:pPr>
      <w:r>
        <w:t xml:space="preserve">4. die in den folgenden Posten enthaltenen wichtigsten Einzelbeträge, sofern sie für die Beurteilung des Jahresabschlusses nicht unwesentlich sind: "Sonstige Vermögensgegenstände" (Formblatt 1, Aktivposten Nr. 14), "Sonstige Verbindlichkeiten" (Formblatt 1, Passivposten Nr. 5), "Sonstige betriebliche Aufwendungen" (Formblatt 2 Spalte Aufwendungen Nr. 6, Formblatt 3 Nr. 12), "Sonstige betriebliche Erträge" (Formblatt 2 Spalte Erträge Nr. 8, Formblatt 3 Nr. 8), "Außerordentliche Aufwendungen" (Formblatt 2 Spalte Aufwendungen Nr. 11, Formblatt 3 Nr. 21) und "Außerordentliche Erträge" (Formblatt 2 Spalte Erträge Nr. 10, Formblatt 3 Nr. 20). Die Beträge und ihre Art sind zu erläutern;</w:t>
      </w:r>
    </w:p>
    <w:p>
      <w:pPr>
        <w:ind w:left="420"/>
      </w:pPr>
      <w:r>
        <w:t xml:space="preserve">5. die Dritten erbrachten Dienstleistungen für Verwaltung und Vermittlung, sofern ihr Umfang in bezug auf die Gesamttätigkeit des Instituts von wesentlicher Bedeutung ist;</w:t>
      </w:r>
    </w:p>
    <w:p>
      <w:pPr>
        <w:ind w:left="420"/>
      </w:pPr>
      <w:r>
        <w:t xml:space="preserve">6. der Gesamtbetrag der Vermögensgegenstände und der Gesamtbetrag der Schulden, die auf Fremdwährung lauten, jeweils in Euro;</w:t>
      </w:r>
    </w:p>
    <w:p>
      <w:pPr>
        <w:ind w:left="420"/>
      </w:pPr>
      <w:r>
        <w:t xml:space="preserve">6a. bei Finanzinstrumenten des Handelsbestands die Methode der Ermittlung des Risikoabschlags nebst den wesentlichen Annahmen, insbesondere die Haltedauer, der Beobachtungszeitraum und das Konfidenzniveau sowie der absolute Betrag des Risikoabschlags;</w:t>
      </w:r>
    </w:p>
    <w:p>
      <w:pPr>
        <w:ind w:left="420"/>
      </w:pPr>
      <w:r>
        <w:t xml:space="preserve">6b. in den Fällen der Umgliederung deren Gründe, der Betrag der umgegliederten Finanzinstrumente des Handelsbestands und die Auswirkungen der Umgliederung auf den Jahresüberschuss/Jahresfehlbetrag sowie für den Fall der Umgliederung wegen Aufgabe der Handelsabsicht die außergewöhnlichen Umstände, die dies rechtfertigen;</w:t>
      </w:r>
    </w:p>
    <w:p>
      <w:pPr>
        <w:ind w:left="420"/>
      </w:pPr>
      <w:r>
        <w:t xml:space="preserve">6c. ob innerhalb des Geschäftsjahres die institutsinternen festgelegten Kriterien für die Einbeziehung von Finanzinstrumenten in den Handelsbestand geändert worden sind und welche Auswirkungen sich daraus auf den Jahresüberschuss/Jahresfehlbetrag ergeben;</w:t>
      </w:r>
    </w:p>
    <w:p>
      <w:pPr>
        <w:ind w:left="420"/>
      </w:pPr>
      <w:r>
        <w:t xml:space="preserve">7. von Pfandbriefbanken eine Deckungsrechnung getrennt nach Hypotheken-, Schiffshypotheken- und Kommunalkreditgeschäft nach Maßgabe des § 28 des Pfandbriefgesetzes, ferner zu den Posten der Aktivseite der Bilanz die zur Deckung begebener Schuldverschreibungen bestimmten Aktiva;</w:t>
      </w:r>
    </w:p>
    <w:p>
      <w:pPr>
        <w:ind w:left="420"/>
      </w:pPr>
      <w:r>
        <w:t xml:space="preserve">8. von Bausparkassen</w:t>
      </w:r>
    </w:p>
    <w:p>
      <w:pPr>
        <w:ind w:left="780"/>
      </w:pPr>
      <w:r>
        <w:t xml:space="preserve">a) zu den Posten der Bilanz "Forderungen an Kreditinstitute" (Aktivposten Nr. 3) und "Forderungen an Kunden" (Aktivposten Nr. 4) rückständige Zins- und Tilgungsbeträge für Baudarlehen in einem Betrag sowie noch nicht ausgezahlte bereitgestellte Baudarlehen</w:t>
      </w:r>
    </w:p>
    <w:p>
      <w:pPr>
        <w:ind w:left="1140"/>
      </w:pPr>
      <w:r>
        <w:t xml:space="preserve">aa) aus Zuteilung,</w:t>
      </w:r>
    </w:p>
    <w:p>
      <w:pPr>
        <w:ind w:left="1140"/>
      </w:pPr>
      <w:r>
        <w:t xml:space="preserve">bb) zur Vor- und Zwischenfinanzierung und</w:t>
      </w:r>
    </w:p>
    <w:p>
      <w:pPr>
        <w:ind w:left="1140"/>
      </w:pPr>
      <w:r>
        <w:t xml:space="preserve">cc) sonstige;</w:t>
      </w:r>
    </w:p>
    <w:p>
      <w:pPr>
        <w:ind w:left="780"/>
      </w:pPr>
      <w:r>
        <w:t xml:space="preserve">b) zu den Posten der Bilanz "Verbindlichkeiten gegenüber Kreditinstituten" (Passivposten Nr. 1) und "Verbindlichkeiten gegenüber Kunden" (Passivposten Nr. 2) die Bewegung des Bestandes an nicht zugeteilten und zugeteilten Bausparverträgen und vertraglichen Bausparsummen;</w:t>
      </w:r>
    </w:p>
    <w:p>
      <w:pPr>
        <w:ind w:left="780"/>
      </w:pPr>
      <w:r>
        <w:t xml:space="preserve">c) zu den Posten der Bilanz "Verbindlichkeiten gegenüber Kreditinstituten" (Passivposten Nr. 1), "Verbindlichkeiten gegenüber Kunden" (Passivposten Nr. 2) und "Verbriefte Verbindlichkeiten" (Passivposten Nr. 3) die aufgenommenen Fremdgelder nach § 4 Abs. 1 Nr. 5 des Gesetzes über Bausparkassen und deren Verwendung;</w:t>
      </w:r>
    </w:p>
    <w:p>
      <w:pPr>
        <w:ind w:left="780"/>
      </w:pPr>
      <w:r>
        <w:t xml:space="preserve">d) zu den Posten der Bilanz "Forderungen an Kreditinstitute" (Aktivposten Nr. 3), "Forderungen an Kunden" (Aktivposten Nr. 4), "Verbindlichkeiten gegenüber Kreditinstituten" (Passivposten Nr. 1) und "Verbindlichkeiten gegenüber Kunden" (Passivposten Nr. 2) die Bewegung der Zuteilungsmasse.</w:t>
      </w:r>
    </w:p>
    <w:p>
      <w:pPr>
        <w:ind w:left="420"/>
      </w:pPr>
      <w:r>
        <w:t xml:space="preserve">Die Angaben zu den Buchstaben b und d können auch in einen statistischen Anhang zum Lagebericht aufgenommen werden, sofern der Lagebericht und der statistische Anhang im Geschäftsbericht der einzelnen Bausparkasse abgedruckt werden;</w:t>
      </w:r>
    </w:p>
    <w:p>
      <w:pPr>
        <w:ind w:left="420"/>
      </w:pPr>
      <w:r>
        <w:t xml:space="preserve">9. von Sparkassen</w:t>
      </w:r>
    </w:p>
    <w:p>
      <w:pPr>
        <w:ind w:left="780"/>
      </w:pPr>
      <w:r>
        <w:t xml:space="preserve">a) zu dem Posten der Bilanz "Forderungen an Kreditinstitute" (Aktivposten Nr. 3) die im Gesamtbetrag enthaltenen Forderungen an die eigene Girozentrale,</w:t>
      </w:r>
    </w:p>
    <w:p>
      <w:pPr>
        <w:ind w:left="780"/>
      </w:pPr>
      <w:r>
        <w:t xml:space="preserve">b) zu dem Posten der Bilanz "Verbindlichkeiten gegenüber Kreditinstituten" (Passivposten Nr. 1) die im Gesamtbetrag enthaltenen Verbindlichkeiten gegenüber der eigenen Girozentrale;</w:t>
      </w:r>
    </w:p>
    <w:p>
      <w:pPr>
        <w:ind w:left="420"/>
      </w:pPr>
      <w:r>
        <w:t xml:space="preserve">10. von Girozentralen</w:t>
      </w:r>
    </w:p>
    <w:p>
      <w:pPr>
        <w:ind w:left="780"/>
      </w:pPr>
      <w:r>
        <w:t xml:space="preserve">a) zu dem Posten der Bilanz "Forderungen an Kreditinstitute" (Aktivposten Nr. 3) die im Gesamtbetrag enthaltenen Forderungen an angeschlossene Sparkassen,</w:t>
      </w:r>
    </w:p>
    <w:p>
      <w:pPr>
        <w:ind w:left="780"/>
      </w:pPr>
      <w:r>
        <w:t xml:space="preserve">b) zu dem Posten der Bilanz "Verbindlichkeiten gegenüber Kreditinstituten" (Passivposten Nr. 1) die im Gesamtbetrag enthaltenen Verbindlichkeiten gegenüber angeschlossenen Sparkassen;</w:t>
      </w:r>
    </w:p>
    <w:p>
      <w:pPr>
        <w:ind w:left="420"/>
      </w:pPr>
      <w:r>
        <w:t xml:space="preserve">11. von Kreditgenossenschaften</w:t>
      </w:r>
    </w:p>
    <w:p>
      <w:pPr>
        <w:ind w:left="780"/>
      </w:pPr>
      <w:r>
        <w:t xml:space="preserve">a) zu dem Posten der Bilanz "Forderungen an Kreditinstitute" (Aktivposten Nr. 3) die im Gesamtbetrag enthaltenen Forderungen an die zuständige genossenschaftliche Zentralbank,</w:t>
      </w:r>
    </w:p>
    <w:p>
      <w:pPr>
        <w:ind w:left="780"/>
      </w:pPr>
      <w:r>
        <w:t xml:space="preserve">b) zu dem Posten der Bilanz "Verbindlichkeiten gegenüber Kreditinstituten" (Passivposten Nr. 1) die im Gesamtbetrag enthaltenen Verbindlichkeiten gegenüber der zuständigen genossenschaftlichen Zentralbank;</w:t>
      </w:r>
    </w:p>
    <w:p>
      <w:pPr>
        <w:ind w:left="420"/>
      </w:pPr>
      <w:r>
        <w:t xml:space="preserve">12. von genossenschaftlichen Zentralbanken</w:t>
      </w:r>
    </w:p>
    <w:p>
      <w:pPr>
        <w:ind w:left="780"/>
      </w:pPr>
      <w:r>
        <w:t xml:space="preserve">a) zu dem Posten der Bilanz "Forderungen an Kreditinstitute" (Aktivposten Nr. 3) die im Gesamtbetrag enthaltenen</w:t>
      </w:r>
    </w:p>
    <w:p>
      <w:pPr>
        <w:ind w:left="1140"/>
      </w:pPr>
      <w:r>
        <w:t xml:space="preserve">aa) Forderungen an die Deutsche Genossenschaftsbank,</w:t>
      </w:r>
    </w:p>
    <w:p>
      <w:pPr>
        <w:ind w:left="1140"/>
      </w:pPr>
      <w:r>
        <w:t xml:space="preserve">bb) Forderungen an angeschlossene Kreditgenossenschaften,</w:t>
      </w:r>
    </w:p>
    <w:p>
      <w:pPr>
        <w:ind w:left="780"/>
      </w:pPr>
      <w:r>
        <w:t xml:space="preserve">b) zu dem Posten der Bilanz "Verbindlichkeiten gegenüber Kreditinstituten" (Passivposten Nr. 1) die im Gesamtbetrag enthaltenen</w:t>
      </w:r>
    </w:p>
    <w:p>
      <w:pPr>
        <w:ind w:left="1140"/>
      </w:pPr>
      <w:r>
        <w:t xml:space="preserve">aa) Verbindlichkeiten gegenüber der Deutschen Genossenschaftsbank,</w:t>
      </w:r>
    </w:p>
    <w:p>
      <w:pPr>
        <w:ind w:left="1140"/>
      </w:pPr>
      <w:r>
        <w:t xml:space="preserve">bb) Verbindlichkeiten gegenüber angeschlossenen Kreditgenossenschaften;</w:t>
      </w:r>
    </w:p>
    <w:p>
      <w:pPr>
        <w:ind w:left="420"/>
      </w:pPr>
      <w:r>
        <w:t xml:space="preserve">13. von der Deutschen Genossenschaftsbank</w:t>
      </w:r>
    </w:p>
    <w:p>
      <w:pPr>
        <w:ind w:left="780"/>
      </w:pPr>
      <w:r>
        <w:t xml:space="preserve">a) zu dem Posten der Bilanz "Forderungen an Kreditinstitute" (Aktivposten Nr. 3) die im Gesamtbetrag enthaltenen Forderungen an angeschlossene Kreditinstitute sowie die darin enthaltenen Forderungen an regionale genossenschaftliche Zentralbanken,</w:t>
      </w:r>
    </w:p>
    <w:p>
      <w:pPr>
        <w:ind w:left="780"/>
      </w:pPr>
      <w:r>
        <w:t xml:space="preserve">b) zu dem Posten der Bilanz "Verbindlichkeiten gegenüber Kreditinstituten" (Passivposten Nr. 1) die im Gesamtbetrag enthaltenen Verbindlichkeiten gegenüber angeschlossenen Kreditinstituten sowie die darin enthaltenen Verbindlichkeiten gegenüber regionalen genossenschaftlichen Zentralbanken.</w:t>
      </w:r>
    </w:p>
    <w:p>
      <w:r>
        <w:t xml:space="preserve">(2) Zu dem Posten der Bilanz "Sachanlagen" (Aktivposten Nr. 12) sind im Anhang mit ihrem Gesamtbetrag anzugeben:</w:t>
      </w:r>
    </w:p>
    <w:p>
      <w:pPr>
        <w:ind w:left="420"/>
      </w:pPr>
      <w:r>
        <w:t xml:space="preserve">1. die vom Institut im Rahmen seiner eigenen Tätigkeit genutzten Grundstücke und Bauten,</w:t>
      </w:r>
    </w:p>
    <w:p>
      <w:pPr>
        <w:ind w:left="420"/>
      </w:pPr>
      <w:r>
        <w:t xml:space="preserve">2. die Betriebs- und Geschäftsausstattung.</w:t>
      </w:r>
    </w:p>
    <w:p>
      <w:r>
        <w:t xml:space="preserve">(3) Zu dem Posten der Bilanz "Nachrangige Verbindlichkeiten" (Passivposten Nr. 9) sind im Anhang anzugeben:</w:t>
      </w:r>
    </w:p>
    <w:p>
      <w:pPr>
        <w:ind w:left="420"/>
      </w:pPr>
      <w:r>
        <w:t xml:space="preserve">1. der Betrag der für nachrangige Verbindlichkeiten angefallenen Aufwendungen,</w:t>
      </w:r>
    </w:p>
    <w:p>
      <w:pPr>
        <w:ind w:left="420"/>
      </w:pPr>
      <w:r>
        <w:t xml:space="preserve">2. zu jeder zehn vom Hundert des Gesamtbetrags der nachrangigen Verbindlichkeiten übersteigenden Mittelaufnahme:</w:t>
      </w:r>
    </w:p>
    <w:p>
      <w:pPr>
        <w:ind w:left="780"/>
      </w:pPr>
      <w:r>
        <w:t xml:space="preserve">a) der Betrag, die Währung, auf die sie lautet, ihr Zinssatz und ihre Fälligkeit sowie, ob eine vorzeitige Rückzahlungsverpflichtung entstehen kann,</w:t>
      </w:r>
    </w:p>
    <w:p>
      <w:pPr>
        <w:ind w:left="780"/>
      </w:pPr>
      <w:r>
        <w:t xml:space="preserve">b) die Bedingungen ihrer Nachrangigkeit und ihrer etwaigen Umwandlung in Kapital oder in eine andere Schuldform,</w:t>
      </w:r>
    </w:p>
    <w:p>
      <w:pPr>
        <w:ind w:left="420"/>
      </w:pPr>
      <w:r>
        <w:t xml:space="preserve">3. zu anderen Mittelaufnahmen die wesentlichen Bedingungen.</w:t>
      </w:r>
    </w:p>
    <w:p>
      <w:r>
        <w:t xml:space="preserve">(4) Zu dem Posten der Bilanz "Eventualverbindlichkeiten" (Passivposten Nr. 1 unter dem Strich) sind im Anhang Art und Betrag jeder Eventualverbindlichkeit anzugeben, die in bezug auf die Gesamttätigkeit des Instituts von wesentlicher Bedeutung ist.</w:t>
      </w:r>
    </w:p>
    <w:p>
      <w:r>
        <w:t xml:space="preserve">(5) Zu jedem Posten der in der Bilanz ausgewiesenen Verbindlichkeiten und der unter dem Strich vermerkten Eventualverbindlichkeiten ist im Anhang jeweils der Gesamtbetrag der als Sicherheit übertragenen Vermögensgegenstände anzugeben.</w:t>
      </w:r>
    </w:p>
    <w:p>
      <w:r>
        <w:t xml:space="preserve">(6) Zu dem Posten der Bilanz "Andere Verpflichtungen" (Passivposten Nr. 2 unter dem Strich) sind im Anhang Art und Höhe jeder der in den Unterposten Buchstabe a bis c bezeichneten Verbindlichkeiten anzugeben, die in bezug auf die Gesamttätigkeit des Instituts von wesentlicher Bedeutung sind.</w:t>
      </w:r>
    </w:p>
    <w:p>
      <w:r>
        <w:rPr>
          <w:color w:val="555555"/>
          <w:sz w:val="17"/>
        </w:rPr>
        <w:t xml:space="preserve">Zitiervorschlag: § 35 RechKredV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https://recht.nulegal.eu/gesetze/RechKredV/35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