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RechKredV — Zusätzliche Erläuterungen</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(1) In den Anhang sind neben den nach § 340a in Verbindung mit § 284 Absatz 1, 2 Nummer 1, 2 und 4, § 285 Nummer 3, 3a, 7, 9 Buchstabe a und b, Nummer 10 bis 11b, 13 bis 26 und 28 bis 30, 32 bis 34, § 340b Abs. 4 Satz 4, § 340e Abs. 2 des Handelsgesetzbuchs und den in dieser Verordnung zu den einzelnen Posten der Bilanz oder der Gewinn- und Verlustrechnung vorgeschriebenen Angaben die in diesem Abschnitt vorgeschriebenen Angaben aufzunehmen. § 285 Nr. 3a des Handelsgesetzbuchs braucht nicht angewendet zu werden, soweit diese Angaben in der Bilanz unter dem Strich gemacht werden.</w:t>
      </w:r>
    </w:p>
    <w:p>
      <w:r>
        <w:t xml:space="preserve">(2) An Stelle der in § 285 Nr. 4, 9 Buchstabe c, Nr. 27 des Handelsgesetzbuchs vorgeschriebenen Angaben sind die folgenden Angaben zu machen:</w:t>
      </w:r>
    </w:p>
    <w:p>
      <w:pPr>
        <w:ind w:left="420"/>
      </w:pPr>
      <w:r>
        <w:t xml:space="preserve">1. Der Gesamtbetrag der folgenden Posten der Gewinn- und Verlustrechnung ist nach geographischen Märkten aufzugliedern, soweit diese Märkte sich vom Standpunkt der Organisation des Instituts wesentlich voneinander unterscheiden:</w:t>
      </w:r>
    </w:p>
    <w:p>
      <w:pPr>
        <w:ind w:left="780"/>
      </w:pPr>
      <w:r>
        <w:t xml:space="preserve">a) Zinserträge (Formblatt 2 Spalte Erträge Nr. 1, Formblatt 3 Nr. 1),</w:t>
      </w:r>
    </w:p>
    <w:p>
      <w:pPr>
        <w:ind w:left="780"/>
      </w:pPr>
      <w:r>
        <w:t xml:space="preserve">b) laufende Erträge aus Aktien und anderen nicht festverzinslichen Wertpapieren, Beteiligungen, Anteilen an verbundenen Unternehmen (Formblatt 2 Spalte Erträge Nr. 2, Formblatt 3 Nr. 3),</w:t>
      </w:r>
    </w:p>
    <w:p>
      <w:pPr>
        <w:ind w:left="780"/>
      </w:pPr>
      <w:r>
        <w:t xml:space="preserve">c) Provisionserträge (Formblatt 2 Spalte Erträge Nr. 4, Formblatt 3 Nr. 5),</w:t>
      </w:r>
    </w:p>
    <w:p>
      <w:pPr>
        <w:ind w:left="780"/>
      </w:pPr>
      <w:r>
        <w:t xml:space="preserve">d) Nettoertrag des Handelsbestands (Formblatt 2 Spalte Erträge Nr. 5, Formblatt 3 Nr. 7),</w:t>
      </w:r>
    </w:p>
    <w:p>
      <w:pPr>
        <w:ind w:left="780"/>
      </w:pPr>
      <w:r>
        <w:t xml:space="preserve">e) sonstige betriebliche Erträge (Formblatt 2 Spalte Erträge Nr. 8, Formblatt 3 Nr. 8).</w:t>
      </w:r>
    </w:p>
    <w:p>
      <w:pPr>
        <w:ind w:left="420"/>
      </w:pPr>
      <w:r>
        <w:t xml:space="preserve">Die Aufgliederung kann unterbleiben, soweit sie nach vernünftiger kaufmännischer Beurteilung geeignet ist, dem Institut oder einem Unternehmen, von dem das Institut mindestens den fünften Teil der Anteile besitzt, einen erheblichen Nachteil zuzufügen.</w:t>
      </w:r>
    </w:p>
    <w:p>
      <w:pPr>
        <w:ind w:left="420"/>
      </w:pPr>
      <w:r>
        <w:t xml:space="preserve">2. Der Gesamtbetrag der den Mitgliedern des Geschäftsführungsorgans, eines Aufsichtsrats, eines Beirats oder einer ähnlichen Einrichtung gewährten Vorschüsse und Kredite sowie der zugunsten dieser Personen eingegangenen Haftungsverhältnisse ist jeweils für jede Personengruppe anzugeben.</w:t>
      </w:r>
    </w:p>
    <w:p>
      <w:pPr>
        <w:ind w:left="420"/>
      </w:pPr>
      <w:r>
        <w:t xml:space="preserve">3. Institute in der Rechtsform der eingetragenen Genossenschaft haben die im Passivposten Nr. 12 Unterposten Buchstabe a ausgewiesenen Geschäftsguthaben wie folgt aufzugliedern:</w:t>
      </w:r>
    </w:p>
    <w:p>
      <w:pPr>
        <w:ind w:left="780"/>
      </w:pPr>
      <w:r>
        <w:t xml:space="preserve">a) Geschäftsguthaben der verbleibenden Mitglieder,</w:t>
      </w:r>
    </w:p>
    <w:p>
      <w:pPr>
        <w:ind w:left="780"/>
      </w:pPr>
      <w:r>
        <w:t xml:space="preserve">b) Geschäftsguthaben der ausscheidenden Mitglieder,</w:t>
      </w:r>
    </w:p>
    <w:p>
      <w:pPr>
        <w:ind w:left="780"/>
      </w:pPr>
      <w:r>
        <w:t xml:space="preserve">c) Geschäftsguthaben aus gekündigten Geschäftsanteilen.</w:t>
      </w:r>
    </w:p>
    <w:p>
      <w:pPr>
        <w:ind w:left="420"/>
      </w:pPr>
      <w:r>
        <w:t xml:space="preserve">4. Die Gründe der Einschätzung des Risikos der Inanspruchnahme für gemäß der §§ 26 und 27 unter der Bilanz ausgewiesene Eventualverbindlichkeiten und andere Verpflichtungen.</w:t>
      </w:r>
    </w:p>
    <w:p>
      <w:r>
        <w:t xml:space="preserve">(3) Die in § 284 Absatz 3 des Handelsgesetzbuchs verlangten Angaben sind für Vermögensgegenstände im Sinne des § 340e Abs. 1 des Handelsgesetzbuchs zu machen. Die Zuschreibungen, Abschreibungen und Wertberichtigungen auf Beteiligungen, Anteile an verbundenen Unternehmen sowie auf andere Wertpapiere, die wie Anlagevermögen behandelt werden, können mit anderen Posten zusammengefaßt werden.</w:t>
      </w:r>
    </w:p>
    <w:p>
      <w:r>
        <w:rPr>
          <w:color w:val="555555"/>
          <w:sz w:val="17"/>
        </w:rPr>
        <w:t xml:space="preserve">Zitiervorschlag: § 34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