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RechKredV — Provisionserträge (Formblatt 2 Spalte Erträge Nr. 4, Formblatt 3 Nr. 5), Provisionsaufwendungen (Formblatt 2 Spalte Aufwendungen Nr. 2, Formblatt 3 Nr. 6)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Im Posten "Provisionserträge" sind Provisionen und ähnliche Erträge aus Dienstleistungsgeschäften wie dem Zahlungsverkehr, Außenhandelsgeschäft, Wertpapierkommissions- und Depotgeschäft, Erträge für Treuhandkredite und Verwaltungskredite, Provisionen im Zusammenhang mit Finanzdienstleistungen oder Wertpapierdienstleistungen und der Veräußerung von Devisen, Sorten und Edelmetallen und aus der Vermittlertätigkeit bei Kredit-, Spar-, Bauspar- und Versicherungsverträgen auszuweisen. Zu den Erträgen gehören auch Bonifikationen aus der Plazierung von Wertpapieren, Bürgschaftsprovisionen und Kontoführungsgebühren.</w:t>
      </w:r>
    </w:p>
    <w:p>
      <w:r>
        <w:t xml:space="preserve">(2) Im Posten "Provisionsaufwendungen" sind Provisionen und ähnliche Aufwendungen aus den in Absatz 1 bezeichneten Dienstleistungsgeschäften auszuweisen.</w:t>
      </w:r>
    </w:p>
    <w:p>
      <w:r>
        <w:rPr>
          <w:color w:val="555555"/>
          <w:sz w:val="17"/>
        </w:rPr>
        <w:t xml:space="preserve">Zitiervorschlag: § 30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