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RechKredV — Eigenkapital (Nr. 12)</w:t>
      </w:r>
    </w:p>
    <w:p>
      <w:r>
        <w:rPr>
          <w:color w:val="555555"/>
          <w:sz w:val="18"/>
        </w:rPr>
        <w:t xml:space="preserve">Kreditinstituts-Rechnungslegungsverordnung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Unterposten Buchstabe a "Gezeichnetes Kapital" sind, ungeachtet ihrer genauen Bezeichnung im Einzelfall, alle Beträge auszuweisen, die entsprechend der Rechtsform des Instituts als von den Gesellschaftern oder anderen Eigentümern gezeichnete Eigenkapitalbeträge gelten; auch Einlagen stiller Gesellschafter, Dotationskapital sowie Geschäftsguthaben sind in diesen Posten einzubeziehen. Die genaue Bezeichnung im Einzelfall kann zusätzlich zu der Postenbezeichnung "Gezeichnetes Kapital" in das Bilanzformblatt eingetragen werden.</w:t>
      </w:r>
    </w:p>
    <w:p>
      <w:r>
        <w:t xml:space="preserve">(2) Im Unterposten Buchstabe c "Gewinnrücklagen" sind auch die Sicherheitsrücklage der Sparkassen sowie die Ergebnisrücklagen der Kreditgenossenschaften auszuweisen. Die genaue Bezeichnung im Einzelfall kann zusätzlich zu der Postenbezeichnung "Gewinnrücklagen" in das Bilanzformblatt eingetragen werden.</w:t>
      </w:r>
    </w:p>
    <w:p>
      <w:r>
        <w:rPr>
          <w:color w:val="555555"/>
          <w:sz w:val="17"/>
        </w:rPr>
        <w:t xml:space="preserve">Zitiervorschlag: § 25 RechKredV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https://recht.nulegal.eu/gesetze/RechKredV/25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