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RechKredV — Verbindlichkeiten gegenüber Kreditinstituten (Nr. 1), Verbindlichkeiten gegenüber Kunden (Nr. 2)</w:t>
      </w:r>
    </w:p>
    <w:p>
      <w:r>
        <w:rPr>
          <w:color w:val="555555"/>
          <w:sz w:val="18"/>
        </w:rPr>
        <w:t xml:space="preserve">Kreditinstituts-Rechnungslegungsverordnung</w:t>
      </w:r>
    </w:p>
    <w:p>
      <w:r>
        <w:rPr>
          <w:color w:val="555555"/>
          <w:sz w:val="18"/>
        </w:rPr>
        <w:t xml:space="preserve">Stand: 26.06.2021 (konsolidierte Textfassung, kein amtliches Inkrafttretensdatum)</w:t>
      </w:r>
    </w:p>
    <w:p>
      <w:r>
        <w:t xml:space="preserve">(1) Als Verbindlichkeiten gegenüber Kreditinstituten sind alle Arten von Verbindlichkeiten aus Bankgeschäften sowie alle Verbindlichkeiten von Finanzdienstleistungsinstituten oder Wertpapierinstituten gegenüber in- und ausländischen Kreditinstituten auszuweisen, sofern es sich nicht um verbriefte Verbindlichkeiten (Passivposten Nr. 3) handelt. Hierher gehören auch Verbindlichkeiten aus Namensschuldverschreibungen, Orderschuldverschreibungen, die nicht Teile einer Gesamtemission sind, Namensgeldmarktpapieren, Haben-Salden aus Effektengeschäften und aus Verrechnungskonten sowie Verbindlichkeiten aus verkauften Wechseln einschließlich eigener Ziehungen, die den Kreditnehmern nicht abgerechnet worden sind.</w:t>
      </w:r>
    </w:p>
    <w:p>
      <w:r>
        <w:t xml:space="preserve">(2) Als Verbindlichkeiten gegenüber Kunden sind alle Arten von Verbindlichkeiten gegenüber in- und ausländischen Nichtbanken (Kunden) auszuweisen, sofern es sich nicht um verbriefte Verbindlichkeiten (Passivposten Nr. 3) handelt. Hierzu gehören auch Verbindlichkeiten aus Namensschuldverschreibungen, Orderschuldverschreibungen, die nicht Teile einer Gesamtemission sind, Namensgeldmarktpapieren, Sperrguthaben und Abrechnungsguthaben der Anschlußfirmen im Teilzahlungsfinanzierungsgeschäft, soweit der Ausweis nicht unter dem Posten "Verbindlichkeiten gegenüber Kreditinstituten" (Passivposten Nr. 1) vorzunehmen ist, sowie "Anweisungen im Umlauf".</w:t>
      </w:r>
    </w:p>
    <w:p>
      <w:r>
        <w:t xml:space="preserve">(3) Verbindlichkeiten, die einem Institut dadurch entstehen, daß ihm von einem anderen Institut Beträge zugunsten eines namentlich genannten Kunden mit der Maßgabe überwiesen werden, sie diesem erst auszuzahlen, nachdem er bestimmte Auflagen erfüllt hat (sogenannte Treuhandzahlungen), sind unter "Verbindlichkeiten gegenüber Kunden" (Passivposten Nr. 2) auszuweisen, auch wenn die Verfügungsbeschränkung noch besteht. Eine Ausnahme besteht nur dann, wenn nach dem Vertrag mit dem die Treuhandzahlung überweisenden Kreditinstitut nicht der Kunde, sondern das empfangende Institut der Schuldner ist.</w:t>
      </w:r>
    </w:p>
    <w:p>
      <w:r>
        <w:t xml:space="preserve">(4) Als Spareinlagen sind nur unbefristete Gelder auszuweisen, die folgende vier Voraussetzungen erfüllen:</w:t>
      </w:r>
    </w:p>
    <w:p>
      <w:pPr>
        <w:ind w:left="420"/>
      </w:pPr>
      <w:r>
        <w:t xml:space="preserve">1. sie sind durch Ausfertigung einer Urkunde, insbesondere eines Sparbuchs, als Spareinlagen gekennzeichnet;</w:t>
      </w:r>
    </w:p>
    <w:p>
      <w:pPr>
        <w:ind w:left="420"/>
      </w:pPr>
      <w:r>
        <w:t xml:space="preserve">2. sie sind nicht für den Zahlungsverkehr bestimmt;</w:t>
      </w:r>
    </w:p>
    <w:p>
      <w:pPr>
        <w:ind w:left="420"/>
      </w:pPr>
      <w:r>
        <w:t xml:space="preserve">3. sie werden nicht von Kapitalgesellschaften, Genossenschaften, wirtschaftlichen Vereinen, Personenhandelsgesellschaften oder von Unternehmen mit Sitz im Ausland mit vergleichbarer Rechtsform angenommen, es sei denn, diese Unternehmen dienen gemeinnützigen, mildtätigen oder kirchlichen Zwecken oder es handelt sich bei den von diesen Unternehmen angenommenen Geldern um Sicherheiten gemäß § 551 des Bürgerlichen Gesetzbuchs;</w:t>
      </w:r>
    </w:p>
    <w:p>
      <w:pPr>
        <w:ind w:left="420"/>
      </w:pPr>
      <w:r>
        <w:t xml:space="preserve">4. sie weisen eine Kündigungsfrist von mindestens drei Monaten auf.</w:t>
      </w:r>
    </w:p>
    <w:p>
      <w:r>
        <w:t xml:space="preserve">Sparbedingungen, die dem Kunden das Recht einräumen, über seine Einlagen mit einer Kündigungsfrist von drei Monaten bis zu einem bestimmten Betrag, der jedoch pro Sparkonto und Kalendermonat 2 000 Euro nicht überschreiten darf, ohne Kündigung zu verfügen, schließen deren Einordnung als Spareinlagen im Sinne dieser Vorschrift nicht aus. Geldbeträge, die auf Grund von Vermögensbildungsgesetzen geleistet werden, gelten als Spareinlagen. Bauspareinlagen gelten nicht als Spareinlagen.</w:t>
      </w:r>
    </w:p>
    <w:p>
      <w:r>
        <w:rPr>
          <w:color w:val="555555"/>
          <w:sz w:val="17"/>
        </w:rPr>
        <w:t xml:space="preserve">Zitiervorschlag: § 21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