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RechKredV — Formblätter</w:t>
      </w:r>
    </w:p>
    <w:p>
      <w:r>
        <w:rPr>
          <w:color w:val="555555"/>
          <w:sz w:val="18"/>
        </w:rPr>
        <w:t xml:space="preserve">Kreditinstituts-Rechnungslegungsverordnung</w:t>
      </w:r>
    </w:p>
    <w:p>
      <w:r>
        <w:rPr>
          <w:color w:val="555555"/>
          <w:sz w:val="18"/>
        </w:rPr>
        <w:t xml:space="preserve">Stand: 10.06.2019 (konsolidierte Textfassung, kein amtliches Inkrafttretensdatum)</w:t>
      </w:r>
    </w:p>
    <w:p>
      <w:r>
        <w:t xml:space="preserve">(1) Institute haben an Stelle des § 266 des Handelsgesetzbuchs über die Gliederung der Bilanz das anliegende Formblatt 1 und an Stelle des § 275 des Handelsgesetzbuchs über die Gliederung der Gewinn- und Verlustrechnung das anliegende Formblatt 2 (Kontoform) oder 3 (Staffelform) anzuwenden, soweit für bestimmte Arten von Instituten nachfolgend sowie in den Fußnoten zu den Formblättern nichts anderes vorgeschrieben ist. Kreditinstitute mit Bausparabteilung haben die für Bausparkassen vorgesehenen besonderen Posten in ihre Bilanz und in ihre Gewinn- und Verlustrechnung zu übernehmen.</w:t>
      </w:r>
    </w:p>
    <w:p>
      <w:r>
        <w:t xml:space="preserve">(2) Die mit kleinen Buchstaben versehenen Posten der Bilanz und der Gewinn- und Verlustrechnung können zusammengefaßt ausgewiesen werden, wenn</w:t>
      </w:r>
    </w:p>
    <w:p>
      <w:pPr>
        <w:ind w:left="420"/>
      </w:pPr>
      <w:r>
        <w:t xml:space="preserve">1. sie einen Betrag enthalten, der für die Vermittlung eines den tatsächlichen Verhältnissen entsprechenden Bildes im Sinne des § 264 Abs. 2 des Handelsgesetzbuchs nicht erheblich ist, oder</w:t>
      </w:r>
    </w:p>
    <w:p>
      <w:pPr>
        <w:ind w:left="420"/>
      </w:pPr>
      <w:r>
        <w:t xml:space="preserve">2. dadurch die Klarheit der Darstellung vergrößert wird; in diesem Falle müssen die zusammengefaßten Posten jedoch im Anhang gesondert ausgewiesen werden.</w:t>
      </w:r>
    </w:p>
    <w:p>
      <w:r>
        <w:t xml:space="preserve">Satz 1 ist auf die der Deutschen Bundesbank und der Bundesanstalt für Finanzdienstleistungsaufsicht einzureichenden Bilanzen und Gewinn- und Verlustrechnungen nicht anzuwenden.</w:t>
      </w:r>
    </w:p>
    <w:p>
      <w:r>
        <w:rPr>
          <w:color w:val="555555"/>
          <w:sz w:val="17"/>
        </w:rPr>
        <w:t xml:space="preserve">Zitiervorschlag: § 2 RechKredV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https://recht.nulegal.eu/gesetze/RechKredV/2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