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RechKredV — Schuldverschreibungen und andere festverzinsliche Wertpapiere (Nr. 5)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Schuldverschreibungen und andere festverzinsliche Wertpapiere sind die folgenden Rechte, wenn sie börsenfähig sind und nicht zu dem Unterposten "Schatzwechsel und unverzinsliche Schatzanweisungen sowie ähnliche Schuldtitel öffentlicher Stellen" (Aktivposten Nr. 2 Buchstabe a) gehören, auszuweisen: festverzinsliche Inhaberschuldverschreibungen, Orderschuldverschreibungen, die Teile einer Gesamtemission sind, Schatzwechsel, Schatzanweisungen und andere verbriefte Rechte (wie zum Beispiel commercial papers, euro-notes, certificates of deposit, bons de caisse), Kassenobligationen sowie Schuldbuchforderungen. Vor Fälligkeit hereingenommene Zinsscheine sind ebenfalls hier aufzunehmen.</w:t>
      </w:r>
    </w:p>
    <w:p>
      <w:r>
        <w:t xml:space="preserve">(2) Als festverzinslich gelten auch Wertpapiere, die mit einem veränderlichen Zinssatz ausgestattet sind, sofern dieser an eine bestimmte Größe, zum Beispiel an einen Interbankzinssatz oder an einen Euro-Geldmarktsatz gebunden ist, sowie Null-Kupon-Anleihen, ferner Schuldverschreibungen, die einen anteiligen Anspruch auf Erlöse aus einem gepoolten Forderungsvermögen verbriefen.</w:t>
      </w:r>
    </w:p>
    <w:p>
      <w:r>
        <w:t xml:space="preserve">(2a) Als Geldmarktpapiere gelten alle Schuldverschreibungen und anderen festverzinslichen Wertpapiere unabhängig von ihrer Bezeichnung, sofern ihre ursprüngliche Laufzeit ein Jahr nicht überschreitet.</w:t>
      </w:r>
    </w:p>
    <w:p>
      <w:r>
        <w:t xml:space="preserve">(3) Als "beleihbar bei der Deutschen Bundesbank" sind nur solche Wertpapiere zu vermerken, die bei der Deutschen Bundesbank refinanzierungsfähig sind. Sie sind mit dem Bilanzwert zu vermerken.</w:t>
      </w:r>
    </w:p>
    <w:p>
      <w:r>
        <w:t xml:space="preserve">(4) Im Unterposten Buchstabe c sind zurückgekaufte börsenfähige Schuldverschreibungen eigener Emissionen auszuweisen; der Bestand an nicht börsenfähigen eigenen Schuldverschreibungen ist vom Passivposten 3 Buchstabe a abzusetzen.</w:t>
      </w:r>
    </w:p>
    <w:p>
      <w:r>
        <w:t xml:space="preserve">(5) Bezüglich der Absätze 1 bis 2a und 4 bleibt § 7 unberührt.</w:t>
      </w:r>
    </w:p>
    <w:p>
      <w:r>
        <w:rPr>
          <w:color w:val="555555"/>
          <w:sz w:val="17"/>
        </w:rPr>
        <w:t xml:space="preserve">Zitiervorschlag: § 16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