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RechKredV — Forderungen an Kreditinstitute (Nr. 3)</w:t>
      </w:r>
    </w:p>
    <w:p>
      <w:r>
        <w:rPr>
          <w:color w:val="555555"/>
          <w:sz w:val="18"/>
        </w:rPr>
        <w:t xml:space="preserve">Kreditinstituts-Rechnungslegungsverordnung</w:t>
      </w:r>
    </w:p>
    <w:p>
      <w:r>
        <w:rPr>
          <w:color w:val="555555"/>
          <w:sz w:val="18"/>
        </w:rPr>
        <w:t xml:space="preserve">Stand: 26.06.2021 (konsolidierte Textfassung, kein amtliches Inkrafttretensdatum)</w:t>
      </w:r>
    </w:p>
    <w:p>
      <w:r>
        <w:t xml:space="preserve">Im Posten "Forderungen an Kreditinstitute" sind alle Arten von Forderungen aus Bankgeschäften sowie alle Forderungen von Finanzdienstleistungsinstituten oder Wertpapierinstituten an in- und ausländische Kreditinstitute einschließlich der von Kreditinstituten eingereichten Wechsel auszuweisen, soweit es sich nicht um börsenfähige Schuldverschreibungen im Sinne des Postens "Schuldverschreibungen und andere festverzinsliche Wertpapiere" (Aktivposten Nr. 5) handelt. Von den a forfait eingereichten Wechseln sind diejenigen hier auszuweisen, die von Kreditinstituten akzeptiert sind, soweit sie nicht unter Aktivposten Nr. 2 Buchstabe b auszuweisen sind. Zu den Forderungen an Kreditinstitute gehören auch Namensschuldverschreibungen sowie nicht börsenfähige Inhaberschuldverschreibungen, Orderschuldverschreibungen, die nicht Teile einer Gesamtemission sind, sowie nicht börsenfähige Orderschuldverschreibungen, die Teile einer Gesamtemission sind, Namensgeldmarktpapiere und nicht börsenfähige Inhabergeldmarktpapiere, Namensgenußscheine, nicht börsenfähige Inhabergenußscheine und andere nicht in Wertpapieren verbriefte rückzahlbare Genußrechte. § 7 bleibt unberührt. Ferner gehören hierzu Bausparguthaben aus abgeschlossenen Bausparverträgen und Soll-Salden aus Effektengeschäften und Verrechnungskonten.</w:t>
      </w:r>
    </w:p>
    <w:p>
      <w:r>
        <w:rPr>
          <w:color w:val="555555"/>
          <w:sz w:val="17"/>
        </w:rPr>
        <w:t xml:space="preserve">Zitiervorschlag: § 14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