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RechKredV — Schuldtitel öffentlicher Stellen und Wechsel, die zur Refinanzierung bei Zentralnotenbanken zugelassen sind (Nr. 2)</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Im Posten Nr. 2 sind Schatzwechsel und unverzinsliche Schatzanweisungen sowie ähnliche Schuldtitel öffentlicher Stellen und Wechsel auszuweisen, die unter Diskontabzug hereingenommen wurden und zur Refinanzierung bei den Zentralnotenbanken der Niederlassungsländer zugelassen sind. Schuldtitel öffentlicher Stellen, die die bezeichneten Voraussetzungen nicht erfüllen, sind im Unterposten "Geldmarktpapiere von öffentlichen Emittenten" (Aktivposten Nr. 5 Buchstabe a Doppelbuchstabe aa), gegebenenfalls im Unterposten "Anleihen und Schuldverschreibungen von öffentlichen Emittenten" (Aktivposten Nr. 5 Buchstabe b Doppelbuchstabe ba), auszuweisen, sofern sie börsenfähig sind, andernfalls im Posten "Forderungen an Kunden" (Aktivposten Nr. 4). Öffentliche Stellen im Sinne dieser Vorschrift sind öffentliche Haushalte einschließlich ihrer Sondervermögen.</w:t>
      </w:r>
    </w:p>
    <w:p>
      <w:r>
        <w:t xml:space="preserve">(2) Im Vermerk zum Unterposten Buchstabe a "bei der Deutschen Bundesbank refinanzierbar" sind alle im Bestand befindlichen Schatzwechsel und unverzinslichen Schatzanweisungen und ähnliche Schuldtitel öffentlicher Stellen auszuweisen, die bei der Deutschen Bundesbank refinanzierungsfähig sind.</w:t>
      </w:r>
    </w:p>
    <w:p>
      <w:r>
        <w:t xml:space="preserve">(3) Der Bestand an eigenen Akzepten ist nicht auszuweisen. Den Kunden nicht abgerechnete Wechsel, Solawechsel und eigene Ziehungen, die beim bilanzierenden Institut hinterlegt sind (Depot- oder Kautionswechsel), sind nicht als Wechsel zu bilanzieren.</w:t>
      </w:r>
    </w:p>
    <w:p>
      <w:r>
        <w:rPr>
          <w:color w:val="555555"/>
          <w:sz w:val="17"/>
        </w:rPr>
        <w:t xml:space="preserve">Zitiervorschlag: § 13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