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RechKredV — Barreserve (Nr. 1)</w:t>
      </w:r>
    </w:p>
    <w:p>
      <w:r>
        <w:rPr>
          <w:color w:val="555555"/>
          <w:sz w:val="18"/>
        </w:rPr>
        <w:t xml:space="preserve">Kreditinstituts-Rechnungslegungsverordnung</w:t>
      </w:r>
    </w:p>
    <w:p>
      <w:r>
        <w:rPr>
          <w:color w:val="555555"/>
          <w:sz w:val="18"/>
        </w:rPr>
        <w:t xml:space="preserve">Stand: 10.06.2019 (konsolidierte Textfassung, kein amtliches Inkrafttretensdatum)</w:t>
      </w:r>
    </w:p>
    <w:p>
      <w:r>
        <w:t xml:space="preserve">(1) Als Kassenbestand sind gesetzliche Zahlungsmittel einschließlich der ausländischen Noten und Münzen sowie Postwertzeichen und Gerichtsgebührenmarken auszuweisen. Zu einem höheren Betrag als dem Nennwert erworbene Gedenkmünzen sowie Goldmünzen, auch wenn es sich um gesetzliche Zahlungsmittel handelt, und Barrengold sind im Posten "Sonstige Vermögensgegenstände" (Aktivposten Nr. 15) zu erfassen.</w:t>
      </w:r>
    </w:p>
    <w:p>
      <w:r>
        <w:t xml:space="preserve">(2) Als Guthaben dürfen nur täglich fällige Guthaben einschließlich der täglich fälligen Fremdwährungsguthaben bei Zentralnotenbanken und Postgiroämtern der Niederlassungsländer des Instituts ausgewiesen werden. Andere Guthaben wie Übernachtguthaben im Rahmen der Einlagefazilität der Deutschen Bundesbank sowie Forderungen an die Deutsche Bundesbank aus Devisenswapgeschäften, Wertpapierpensionsgeschäften und Termineinlagen sind im Posten "Forderungen an Kreditinstitute" (Aktivposten Nr. 3) auszuweisen. Bei Zentralnotenbanken in Anspruch genommene Kredite wie Übernachtkredite im Rahmen der Spitzenrefinanzierungsfazilität der Deutschen Bundesbank oder andere täglich fällige Darlehen sind nicht von den Guthaben abzusetzen, sondern im Posten "Verbindlichkeiten gegenüber Kreditinstituten" (Passivposten Nr. 1) als täglich fällige Verbindlichkeiten auszuweisen.</w:t>
      </w:r>
    </w:p>
    <w:p>
      <w:r>
        <w:rPr>
          <w:color w:val="555555"/>
          <w:sz w:val="17"/>
        </w:rPr>
        <w:t xml:space="preserve">Zitiervorschlag: § 12 RechKredV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https://recht.nulegal.eu/gesetze/RechKredV/12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