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RechKredV — Anteilige Zinsen</w:t>
      </w:r>
    </w:p>
    <w:p>
      <w:r>
        <w:rPr>
          <w:color w:val="555555"/>
          <w:sz w:val="18"/>
        </w:rPr>
        <w:t xml:space="preserve">Kreditinstituts-Rechnungslegungsverordnung</w:t>
      </w:r>
    </w:p>
    <w:p>
      <w:r>
        <w:rPr>
          <w:color w:val="555555"/>
          <w:sz w:val="18"/>
        </w:rPr>
        <w:t xml:space="preserve">Stand: 26.06.2021 (konsolidierte Textfassung, kein amtliches Inkrafttretensdatum)</w:t>
      </w:r>
    </w:p>
    <w:p>
      <w:r>
        <w:t xml:space="preserve">Anteilige Zinsen und ähnliche das Geschäftsjahr betreffende Beträge, die erst nach dem Bilanzstichtag fällig werden, aber bereits am Bilanzstichtag bei Kreditinstituten den Charakter von bankgeschäftlichen und bei Finanzdienstleistungsinstituten oder Wertpapierinstituten den Charakter von für diese Institute typischen Forderungen oder Verbindlichkeiten haben, sind demjenigen Posten der Aktiv- oder Passivseite der Bilanz zuzuordnen, dem sie zugehören. § 268 Abs. 4 Satz 2, Abs. 5 Satz 3 des Handelsgesetzbuchs bleibt unberührt. Die in Satz 1 genannten Beträge brauchen nicht nach Restlaufzeiten aufgegliedert zu werden.</w:t>
      </w:r>
    </w:p>
    <w:p>
      <w:r>
        <w:rPr>
          <w:color w:val="555555"/>
          <w:sz w:val="17"/>
        </w:rPr>
        <w:t xml:space="preserve">Zitiervorschlag: § 11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