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ReblV — Inkrafttreten</w:t>
      </w:r>
    </w:p>
    <w:p>
      <w:r>
        <w:rPr>
          <w:color w:val="555555"/>
          <w:sz w:val="18"/>
        </w:rPr>
        <w:t xml:space="preserve">Reblausverordnung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8 ReblV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