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ReblV — Ordnungswidrigkeiten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68 Absatz 1 Nummer 3 Buchstabe a des Pflanzenschutzgesetzes handelt, wer vorsätzlich oder fahrlässig</w:t>
      </w:r>
    </w:p>
    <w:p>
      <w:pPr>
        <w:ind w:left="420"/>
      </w:pPr>
      <w:r>
        <w:t xml:space="preserve">1. entgegen § 1 die Anzeige nicht, nicht richtig oder nicht rechtzeitig erstattet,</w:t>
      </w:r>
    </w:p>
    <w:p>
      <w:pPr>
        <w:ind w:left="420"/>
      </w:pPr>
      <w:r>
        <w:t xml:space="preserve">1a. einer vollziehbaren Anordnung nach § 2 oder § 4 Absatz 3 Nummer 1 zuwiderhandelt,</w:t>
      </w:r>
    </w:p>
    <w:p>
      <w:pPr>
        <w:ind w:left="420"/>
      </w:pPr>
      <w:r>
        <w:t xml:space="preserve">2. entgegen § 3 Abs. 1 Pflanzgut von Rebe in eine nicht befallene Gemeinde oder einen nicht befallenen Ortsteil verbringt,</w:t>
      </w:r>
    </w:p>
    <w:p>
      <w:pPr>
        <w:ind w:left="420"/>
      </w:pPr>
      <w:r>
        <w:t xml:space="preserve">3. entgegen § 4 Abs. 1 Wurzelreben anbaut,</w:t>
      </w:r>
    </w:p>
    <w:p>
      <w:pPr>
        <w:ind w:left="420"/>
      </w:pPr>
      <w:r>
        <w:t xml:space="preserve">4. entgegen § 5 Abs. 1 die Reblaus züchtet oder hält oder mit ihr arbeitet oder</w:t>
      </w:r>
    </w:p>
    <w:p>
      <w:pPr>
        <w:ind w:left="420"/>
      </w:pPr>
      <w:r>
        <w:t xml:space="preserve">5. einer mit einer Genehmigung nach § 5 Absatz 2 verbundenen vollziehbaren Auflage zuwiderhandelt.</w:t>
      </w:r>
    </w:p>
    <w:p>
      <w:r>
        <w:rPr>
          <w:color w:val="555555"/>
          <w:sz w:val="17"/>
        </w:rPr>
        <w:t xml:space="preserve">Zitiervorschlag: § 7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