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ReblV — Länderbefugnisse</w:t>
      </w:r>
    </w:p>
    <w:p>
      <w:r>
        <w:rPr>
          <w:color w:val="555555"/>
          <w:sz w:val="18"/>
        </w:rPr>
        <w:t xml:space="preserve">Reblausverordnung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Befugnisse der Länder nach § 3 Abs. 3 und § 42 Satz 2 Nr. 1 des Pflanzenschutzgesetzes, weitergehende Regelungen zur Bekämpfung der Reblaus zu treffen.</w:t>
      </w:r>
    </w:p>
    <w:p>
      <w:r>
        <w:rPr>
          <w:color w:val="555555"/>
          <w:sz w:val="17"/>
        </w:rPr>
        <w:t xml:space="preserve">Zitiervorschlag: § 6 ReblV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