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ReblV — Bekämpfungspflicht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Verfügungsberechtigte und Besitzer sind verpflichtet, soweit die zuständige Behörde es zur Bekämpfung der Reblaus anordnet,</w:t>
      </w:r>
    </w:p>
    <w:p>
      <w:pPr>
        <w:ind w:left="420"/>
      </w:pPr>
      <w:r>
        <w:t xml:space="preserve">1. Reben auf das Auftreten der Reblaus zu überwachen, zu untersuchen oder untersuchen zu lassen,</w:t>
      </w:r>
    </w:p>
    <w:p>
      <w:pPr>
        <w:ind w:left="420"/>
      </w:pPr>
      <w:r>
        <w:t xml:space="preserve">2. Befallsgegenstände zu vernichten, zu entseuchen oder entseuchen zu lassen,</w:t>
      </w:r>
    </w:p>
    <w:p>
      <w:pPr>
        <w:ind w:left="420"/>
      </w:pPr>
      <w:r>
        <w:t xml:space="preserve">3. befallenes oder befallsverdächtiges Anbaumaterial von Rebe (Pflanzgut von Rebe) nicht in den Verkehr zu bringen,</w:t>
      </w:r>
    </w:p>
    <w:p>
      <w:pPr>
        <w:ind w:left="420"/>
      </w:pPr>
      <w:r>
        <w:t xml:space="preserve">4. befallene oder befallsverdächtige Grundstücke von solchen Reben, die anfällig für die Wurzelreblaus sind, freizumachen oder freizuhalten,</w:t>
      </w:r>
    </w:p>
    <w:p>
      <w:pPr>
        <w:ind w:left="420"/>
      </w:pPr>
      <w:r>
        <w:t xml:space="preserve">5. Befallsgegenstände von befallenen oder befallsverdächtigen Grundstücken nicht zu entfernen,</w:t>
      </w:r>
    </w:p>
    <w:p>
      <w:pPr>
        <w:ind w:left="420"/>
      </w:pPr>
      <w:r>
        <w:t xml:space="preserve">6. die Reblaus auf andere Weise zu bekämpfen oder bekämpfen zu lassen.</w:t>
      </w:r>
    </w:p>
    <w:p>
      <w:r>
        <w:rPr>
          <w:color w:val="555555"/>
          <w:sz w:val="17"/>
        </w:rPr>
        <w:t xml:space="preserve">Zitiervorschlag: § 2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