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RebflV</w:t>
      </w:r>
    </w:p>
    <w:p>
      <w:r>
        <w:rPr>
          <w:color w:val="555555"/>
          <w:sz w:val="18"/>
        </w:rPr>
        <w:t xml:space="preserve">Verordnung über die Gewährung von Prämien zur endgültigen Aufgabe von Rebflächen in den Weinwirtschaftsjahren 1997/98 bis 1999/2000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RebflV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