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RebflRodV</w:t>
      </w:r>
    </w:p>
    <w:p>
      <w:r>
        <w:rPr>
          <w:color w:val="555555"/>
          <w:sz w:val="18"/>
        </w:rPr>
        <w:t xml:space="preserve">Rebflächenrodungsverordnung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18 und 19 in Verbindung mit Abs. 4 und 5 sowie der §§ 15 und 16, jeweils in Verbindung mit § 6 Abs. 4, des Gesetzes zur Durchführung der Gemeinsamen Marktorganisationen in der Fassung der Bekanntmachung vom 20. September 1995 (BGBl. I S. 1146) in Verbindung mit Artikel 56 des Zuständigkeitsanpassungs-Gesetzes vom 18. März 1975 (BGBl. I S. 705) und dem Organisationserlass vom 27. Oktober 1998 (BGBl. I S. 3288) verordnet das Bundesministerium für Ernährung, Landwirtschaft und Forsten im Einvernehmen mit den Bundesministerien der Finanzen und für Wirtschaft und Technologie:</w:t>
      </w:r>
    </w:p>
    <w:p>
      <w:r>
        <w:rPr>
          <w:color w:val="555555"/>
          <w:sz w:val="17"/>
        </w:rPr>
        <w:t xml:space="preserve">Zitiervorschlag: Eingangsformel RebflRodV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https://recht.nulegal.eu/gesetze/RebflRodV/eingangsformel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