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RebflRodV — Inkrafttreten, Außerkrafttreten</w:t>
      </w:r>
    </w:p>
    <w:p>
      <w:r>
        <w:rPr>
          <w:color w:val="555555"/>
          <w:sz w:val="18"/>
        </w:rPr>
        <w:t xml:space="preserve">Rebflächenrodungsverordnung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6 RebflRodV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https://recht.nulegal.eu/gesetze/RebflRodV/6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