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RebflRodV — Verfahren und Höhe der Prämie</w:t>
      </w:r>
    </w:p>
    <w:p>
      <w:r>
        <w:rPr>
          <w:color w:val="555555"/>
          <w:sz w:val="18"/>
        </w:rPr>
        <w:t xml:space="preserve">Rebflächenrodungsverordnung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Landesregierungen von der Ermächtigung des § 2 Gebrauch machen, haben sie in der Rechtsverordnung</w:t>
      </w:r>
    </w:p>
    <w:p>
      <w:pPr>
        <w:ind w:left="420"/>
      </w:pPr>
      <w:r>
        <w:t xml:space="preserve">1. die erforderlichen Vorschriften über das Verfahren für die Gewährung der Prämie festzulegen,</w:t>
      </w:r>
    </w:p>
    <w:p>
      <w:pPr>
        <w:ind w:left="420"/>
      </w:pPr>
      <w:r>
        <w:t xml:space="preserve">2. die Höhe der Prämie je Hektar auf Grundlage der in Artikel 8 Abs. 4 der Verordnung (EG) Nr. 1493/1999 genannten Kriterien unter Beachtung der in Artikel 8 Abs. 4 und 5 der Verordnung (EG) Nr. 1227/2000 aufgestellten Obergrenzen festzusetzen.</w:t>
      </w:r>
    </w:p>
    <w:p>
      <w:r>
        <w:rPr>
          <w:color w:val="555555"/>
          <w:sz w:val="17"/>
        </w:rPr>
        <w:t xml:space="preserve">Zitiervorschlag: § 3 RebflRodV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https://recht.nulegal.eu/gesetze/RebflRodV/3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