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RebflRodV — Bestimmung der Rebflächen</w:t>
      </w:r>
    </w:p>
    <w:p>
      <w:r>
        <w:rPr>
          <w:color w:val="555555"/>
          <w:sz w:val="18"/>
        </w:rPr>
        <w:t xml:space="preserve">Rebflächenrodungsverordnung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können durch Rechtsverordnung bestimmen, dass für bestimmte Rebflächen eine Prämie für die endgültige Aufgabe des Weinbaus nach Maßgabe der in § 1 genannten Bestimmungen gewährt werden kann.</w:t>
      </w:r>
    </w:p>
    <w:p>
      <w:r>
        <w:rPr>
          <w:color w:val="555555"/>
          <w:sz w:val="17"/>
        </w:rPr>
        <w:t xml:space="preserve">Zitiervorschlag: § 2 RebflRodV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https://recht.nulegal.eu/gesetze/RebflRodV/2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