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RebPflV 1986 — Anforderungen an den Rebenbestand und an die Beschaffenheit des Pflanzgutes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09.12.2020 (konsolidierte Textfassung, kein amtliches Inkrafttretensdatum)</w:t>
      </w:r>
    </w:p>
    <w:p>
      <w:r>
        <w:t xml:space="preserve">Die Anforderungen an den Rebenbestand, einschließlich der Anforderungen hinsichtlich des Befalls mit RNQPs, ergeben sich aus Anlage 1. Die Anforderungen an die Beschaffenheit des Pflanzgutes ergeben sich aus Anlage 2.</w:t>
      </w:r>
    </w:p>
    <w:p>
      <w:r>
        <w:rPr>
          <w:color w:val="555555"/>
          <w:sz w:val="17"/>
        </w:rPr>
        <w:t xml:space="preserve">Zitiervorschlag: § 6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