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RebPflV 1986 — Gestattung des Inverkehrbringens von Standardpflanzgut</w:t>
      </w:r>
    </w:p>
    <w:p>
      <w:r>
        <w:rPr>
          <w:color w:val="555555"/>
          <w:sz w:val="18"/>
        </w:rPr>
        <w:t xml:space="preserve">Rebenpflanzgutverordnung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Standardpflanzgut, außer Standardpflanzgut von Unterlagsreben, darf zu gewerblichen Zwecken in den Verkehr gebracht werden.</w:t>
      </w:r>
    </w:p>
    <w:p>
      <w:r>
        <w:rPr>
          <w:color w:val="555555"/>
          <w:sz w:val="17"/>
        </w:rPr>
        <w:t xml:space="preserve">Zitiervorschlag: § 2a RebPflV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https://recht.nulegal.eu/gesetze/RebPflV%201986/2a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