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RebPflV 1986 — Inkrafttreten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09.12.2020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23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