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RebPflV 1986 — Kennzeichnung von nicht anerkanntem Pflanzgut in besonderen Fällen</w:t>
      </w:r>
    </w:p>
    <w:p>
      <w:r>
        <w:rPr>
          <w:color w:val="555555"/>
          <w:sz w:val="18"/>
        </w:rPr>
        <w:t xml:space="preserve">Rebenpflanzgutverordnung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Wird Pflanzgut, das nicht anerkannt ist, in den Fällen des § 3 Abs. 1 Nr. 5, 6 und 8 und Abs. 2 des Saatgutverkehrsgesetzes zu gewerblichen Zwecken in den Verkehr gebracht oder nach § 2 Nr. 12 Buchstabe b Doppelbuchstabe aa des Saatgutverkehrsgesetzes abgegeben, so ist jede Packung oder jedes Bündel mit einem besonderen Etikett zu versehen. Dieses Etikett muß folgende Angaben enthalten:</w:t>
      </w:r>
    </w:p>
    <w:p>
      <w:pPr>
        <w:ind w:left="420"/>
      </w:pPr>
      <w:r>
        <w:t xml:space="preserve">1. Name und Anschrift des Absenders;</w:t>
      </w:r>
    </w:p>
    <w:p>
      <w:pPr>
        <w:ind w:left="420"/>
      </w:pPr>
      <w:r>
        <w:t xml:space="preserve">2. die Pflanzgutart (§ 2 Nr. 1);</w:t>
      </w:r>
    </w:p>
    <w:p>
      <w:pPr>
        <w:ind w:left="420"/>
      </w:pPr>
      <w:r>
        <w:t xml:space="preserve">3. die Sortenbezeichnung und die Bezeichnung des Klones sowie</w:t>
      </w:r>
    </w:p>
    <w:p>
      <w:pPr>
        <w:ind w:left="420"/>
      </w:pPr>
      <w:r>
        <w:t xml:space="preserve">4. im Falle</w:t>
      </w:r>
    </w:p>
    <w:p>
      <w:pPr>
        <w:ind w:left="780"/>
      </w:pPr>
      <w:r>
        <w:t xml:space="preserve">a) des § 3 Abs. 1 Satz 1 Nr. 5 des Saatgutverkehrsgesetzes den Hinweis "Nicht anerkanntes Vorstufenpflanzgut zum vertraglichen Vermehrungsanbau",</w:t>
      </w:r>
    </w:p>
    <w:p>
      <w:pPr>
        <w:ind w:left="780"/>
      </w:pPr>
      <w:r>
        <w:t xml:space="preserve">b) des § 3 Abs. 1 Satz 1 Nr. 6 des Saatgutverkehrsgesetzes je nach Verwendungszweck den Hinweis "Pflanzgut für Ausstellungszwecke" oder "Zum Anbau außerhalb der EU bestimmt",</w:t>
      </w:r>
    </w:p>
    <w:p>
      <w:pPr>
        <w:ind w:left="780"/>
      </w:pPr>
      <w:r>
        <w:t xml:space="preserve">c) des § 3 Abs. 1 Satz 1 Nr. 8 des Saatgutverkehrsgesetzes den Hinweis "Pflanzgut für wissenschaftliche Zwecke oder Züchtungszwecke",</w:t>
      </w:r>
    </w:p>
    <w:p>
      <w:pPr>
        <w:ind w:left="780"/>
      </w:pPr>
      <w:r>
        <w:t xml:space="preserve">d) des § 3 Abs. 2 des Saatgutverkehrsgesetzes den Hinweis "Pflanzgut einer nicht zugelassenen Sorte"; hat das Bundessortenamt die Genehmigung mit einer Auflage für die Kennzeichnung des Pflanzgutes verbunden, so ist eine Angabe entsprechend der Auflage zu machen,</w:t>
      </w:r>
    </w:p>
    <w:p>
      <w:pPr>
        <w:ind w:left="780"/>
      </w:pPr>
      <w:r>
        <w:t xml:space="preserve">e) des § 2 Nr. 12 Buchstabe b Doppelbuchstabe aa des Saatgutverkehrsgesetzes den Hinweis "Nicht anerkanntes Pflanzgut, zur Bearbeitung".</w:t>
      </w:r>
    </w:p>
    <w:p>
      <w:r>
        <w:t xml:space="preserve">Satz 1 gilt nicht für Topfreben oder Kartonagereben, wenn die in Satz 2 vorgeschriebenen Angaben schriftlich gegenüber dem Erwerber bei der Übergabe gemacht werden.</w:t>
      </w:r>
    </w:p>
    <w:p>
      <w:r>
        <w:rPr>
          <w:color w:val="555555"/>
          <w:sz w:val="17"/>
        </w:rPr>
        <w:t xml:space="preserve">Zitiervorschlag: § 22 RebPflV 1986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https://recht.nulegal.eu/gesetze/RebPflV%201986/22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