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RebPflV 1986 — Abgabe in kleinen Mengen</w:t>
      </w:r>
    </w:p>
    <w:p>
      <w:r>
        <w:rPr>
          <w:color w:val="555555"/>
          <w:sz w:val="18"/>
        </w:rPr>
        <w:t xml:space="preserve">Rebenpflanzgutverordnung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Zertifiziertes Pflanzgut und Standardpflanzgut darf aus vorschriftsmäßig gekennzeichneten und verschlossenen Packungen oder Bündeln bis zu der niedrigsten in Anlage 3 Nr. 1 Spalte 2 jeweils festgesetzten Stückzahl ungekennzeichnet und ohne verschlossene Verpackung an Letztverbraucher abgegeben werden, sofern dem Erwerber auf Verlangen bei der Übergabe schriftlich angegeben werden:</w:t>
      </w:r>
    </w:p>
    <w:p>
      <w:pPr>
        <w:ind w:left="420"/>
      </w:pPr>
      <w:r>
        <w:t xml:space="preserve">1. die Pflanzgutart (§ 2 Nr. 1),</w:t>
      </w:r>
    </w:p>
    <w:p>
      <w:pPr>
        <w:ind w:left="420"/>
      </w:pPr>
      <w:r>
        <w:t xml:space="preserve">2. die Kategorie,</w:t>
      </w:r>
    </w:p>
    <w:p>
      <w:pPr>
        <w:ind w:left="420"/>
      </w:pPr>
      <w:r>
        <w:t xml:space="preserve">3. die Sortenbezeichnung,</w:t>
      </w:r>
    </w:p>
    <w:p>
      <w:pPr>
        <w:ind w:left="420"/>
      </w:pPr>
      <w:r>
        <w:t xml:space="preserve">4. die Bezeichnung des Klones,</w:t>
      </w:r>
    </w:p>
    <w:p>
      <w:pPr>
        <w:ind w:left="420"/>
      </w:pPr>
      <w:r>
        <w:t xml:space="preserve">5. die Anerkennungsnummer oder die Betriebsnummer des Erzeugers.</w:t>
      </w:r>
    </w:p>
    <w:p>
      <w:r>
        <w:rPr>
          <w:color w:val="555555"/>
          <w:sz w:val="17"/>
        </w:rPr>
        <w:t xml:space="preserve">Zitiervorschlag: § 21 RebPflV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https://recht.nulegal.eu/gesetze/RebPflV%201986/21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