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RebPflV 1986 — Topfreben und Kartonagereben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09.12.2020 (konsolidierte Textfassung, kein amtliches Inkrafttretensdatum)</w:t>
      </w:r>
    </w:p>
    <w:p>
      <w:r>
        <w:t xml:space="preserve">Topfreben und Kartonagereben dürfen ungebündelt zu gewerblichen Zwecken in den Verkehr gebracht werden, sofern dem Erwerber bei der Übergabe eine Kopie des amtlichen Etiketts ausgehändigt wird; die Vorschriften der §§ 17 und 18 über die Kennzeichnung und des § 19 über die Schließung sind nicht anzuwenden. Wer Topfreben und Kartonagereben nach Satz 1 in den Verkehr bringt, hat das Pflanzgut in nach Sorten oder Klonen sowie nach Stückzahlen je Packung getrennten und entsprechend bezeichneten Partien aufzubewahren.</w:t>
      </w:r>
    </w:p>
    <w:p>
      <w:r>
        <w:rPr>
          <w:color w:val="555555"/>
          <w:sz w:val="17"/>
        </w:rPr>
        <w:t xml:space="preserve">Zitiervorschlag: § 20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