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RebPflV 1986 — Begriffsbestimmungen</w:t>
      </w:r>
    </w:p>
    <w:p>
      <w:r>
        <w:rPr>
          <w:color w:val="555555"/>
          <w:sz w:val="18"/>
        </w:rPr>
        <w:t xml:space="preserve">Rebenpflanzgutverordnung</w:t>
      </w:r>
    </w:p>
    <w:p>
      <w:r>
        <w:rPr>
          <w:color w:val="555555"/>
          <w:sz w:val="18"/>
        </w:rPr>
        <w:t xml:space="preserve">Stand: 09.12.2020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Pflanzgut von Rebe: Ruten, grüne Triebe, Edelreiser, veredelungsfähige Unterlagsreben, Blindholz, Wurzelreben, Pfropfreben, Topfreben und Kartonagereben;</w:t>
      </w:r>
    </w:p>
    <w:p>
      <w:pPr>
        <w:ind w:left="420"/>
      </w:pPr>
      <w:r>
        <w:t xml:space="preserve">2. Ruten: einjährige Triebe;</w:t>
      </w:r>
    </w:p>
    <w:p>
      <w:pPr>
        <w:ind w:left="420"/>
      </w:pPr>
      <w:r>
        <w:t xml:space="preserve">3. grüne Triebe: nicht verholzte Triebe;</w:t>
      </w:r>
    </w:p>
    <w:p>
      <w:pPr>
        <w:ind w:left="420"/>
      </w:pPr>
      <w:r>
        <w:t xml:space="preserve">4. Edelreiser: Teilstücke von Ruten oder von grünen Trieben, die bei der Herstellung von Pfropfreben und bei der Veredelung von Reben am Standort (Standortveredelung) zur Bildung der oberirdischen Teile bestimmt sind;</w:t>
      </w:r>
    </w:p>
    <w:p>
      <w:pPr>
        <w:ind w:left="420"/>
      </w:pPr>
      <w:r>
        <w:t xml:space="preserve">5. veredelungsfähige Unterlagsreben: Teilstücke von Ruten oder von grünen Trieben, die bei der Herstellung von Pfropfreben zur Verwendung als Unterlage bestimmt sind;</w:t>
      </w:r>
    </w:p>
    <w:p>
      <w:pPr>
        <w:ind w:left="420"/>
      </w:pPr>
      <w:r>
        <w:t xml:space="preserve">6. Blindholz: Teilstücke von Ruten oder von grünen Trieben, die zur Erzeugung von Wurzelreben bestimmt sind;</w:t>
      </w:r>
    </w:p>
    <w:p>
      <w:pPr>
        <w:ind w:left="420"/>
      </w:pPr>
      <w:r>
        <w:t xml:space="preserve">7. Wurzelreben: bewurzelte, nicht gepfropfte Teilstücke von Ruten oder von grünen Trieben, die zur wurzelechten Pflanzung oder zur Verwendung als Unterlage bei einer Pfropfung bestimmt sind;</w:t>
      </w:r>
    </w:p>
    <w:p>
      <w:pPr>
        <w:ind w:left="420"/>
      </w:pPr>
      <w:r>
        <w:t xml:space="preserve">8. Pfropfreben: durch Pfropfung miteinander verbundene Teilstücke von Ruten oder von grünen Trieben, deren unterirdischer Teil bewurzelt ist;</w:t>
      </w:r>
    </w:p>
    <w:p>
      <w:pPr>
        <w:ind w:left="420"/>
      </w:pPr>
      <w:r>
        <w:t xml:space="preserve">9. Topfreben: Wurzelreben oder Pfropfreben, die in Töpfen oder topfähnlichen Behältnissen kultiviert werden und in diesen zu gewerblichen Zwecken in den Verkehr gebracht werden sollen;</w:t>
      </w:r>
    </w:p>
    <w:p>
      <w:pPr>
        <w:ind w:left="420"/>
      </w:pPr>
      <w:r>
        <w:t xml:space="preserve">10. Kartonagereben: Wurzelreben oder Pfropfreben, die in Kartonagen oder kartonageähnlichen Behältnissen kultiviert werden und in diesen zu gewerblichen Zwecken in den Verkehr gebracht werden sollen;</w:t>
      </w:r>
    </w:p>
    <w:p>
      <w:pPr>
        <w:ind w:left="420"/>
      </w:pPr>
      <w:r>
        <w:t xml:space="preserve">11. Mutterrebenbestände: zur Erzeugung von Edelreisern, veredelungsfähigen Unterlagsreben oder Blindholz bestimmte Bestände von Reben;</w:t>
      </w:r>
    </w:p>
    <w:p>
      <w:pPr>
        <w:ind w:left="420"/>
      </w:pPr>
      <w:r>
        <w:t xml:space="preserve">12. Rebschulen: zur Erzeugung von Wurzelreben oder Pfropfreben bestimmte Bestände von Reben;</w:t>
      </w:r>
    </w:p>
    <w:p>
      <w:pPr>
        <w:ind w:left="420"/>
      </w:pPr>
      <w:r>
        <w:t xml:space="preserve">13. Vermehrungsfläche: Fläche, auf der ein Mutterrebenbestand oder eine Rebschule angelegt ist;</w:t>
      </w:r>
    </w:p>
    <w:p>
      <w:pPr>
        <w:ind w:left="420"/>
      </w:pPr>
      <w:r>
        <w:t xml:space="preserve">14. Kennfarbe: zur Kennzeichnung von Pflanzgut dienende Farbe von Etiketten und Einlegern; die Kennfarbe ist bei</w:t>
      </w:r>
    </w:p>
    <w:p>
      <w:r>
        <w:rPr>
          <w:rFonts w:ascii="Courier New" w:hAnsi="Courier New"/>
          <w:sz w:val="17"/>
        </w:rPr>
        <w:t xml:space="preserve">a)    Basispflanzgut    weiß,</w:t>
      </w:r>
    </w:p>
    <w:p>
      <w:r>
        <w:rPr>
          <w:rFonts w:ascii="Courier New" w:hAnsi="Courier New"/>
          <w:sz w:val="17"/>
        </w:rPr>
        <w:t xml:space="preserve">b)    Zertifiziertem Pflanzgut    blau,</w:t>
      </w:r>
    </w:p>
    <w:p>
      <w:r>
        <w:rPr>
          <w:rFonts w:ascii="Courier New" w:hAnsi="Courier New"/>
          <w:sz w:val="17"/>
        </w:rPr>
        <w:t xml:space="preserve">c)    Standardpflanzgut    dunkelgelb,</w:t>
      </w:r>
    </w:p>
    <w:p>
      <w:r>
        <w:rPr>
          <w:rFonts w:ascii="Courier New" w:hAnsi="Courier New"/>
          <w:sz w:val="17"/>
        </w:rPr>
        <w:t xml:space="preserve">d)    Vorstufenpflanzgut    weiß mit einem von links unten nach rechts oben verlaufenden 5 mm breiten violetten Diagonalstreifen;</w:t>
      </w:r>
    </w:p>
    <w:p>
      <w:pPr>
        <w:ind w:left="420"/>
      </w:pPr>
      <w:r>
        <w:t xml:space="preserve">15. Bezugsnummer der Partie:</w:t>
      </w:r>
    </w:p>
    <w:p>
      <w:pPr>
        <w:ind w:left="780"/>
      </w:pPr>
      <w:r>
        <w:t xml:space="preserve">a) bei Pflanzgut von Rebe außer Wurzelreben und Pfropfreben, die vorgeschriebene Anerkennungsnummer,</w:t>
      </w:r>
    </w:p>
    <w:p>
      <w:pPr>
        <w:ind w:left="780"/>
      </w:pPr>
      <w:r>
        <w:t xml:space="preserve">b) bei Wurzelreben und Pfropfreben die vom Erzeuger verwendete Nummer der Partie (Seriennummer);</w:t>
      </w:r>
    </w:p>
    <w:p>
      <w:pPr>
        <w:ind w:left="420"/>
      </w:pPr>
      <w:r>
        <w:t xml:space="preserve">16. RNQPs: unionsgeregelte Nicht-Quarantäneschädlinge (regulated non-quarantine pests) im Sinne des Artikels 36 der Verordnung (EU) 2016/2031 des Europäischen Parlaments und des Rates vom 26. Oktober 2016 über Maßnahmen zum Schutz vor Pflanzenschädlingen, zur Änderung der Verordnungen (EU) Nr. 228/2013, (EU) Nr. 652/2014 und (EU) Nr. 1143/2014 des Europäischen Parlaments und des Rates und zur Aufhebung der Richtlinien 69/464/EWG, 74/647/EWG, 93/85/EWG, 98/57/EG, 2000/29/EG, 2006/91/EG und 2007/33/EG des Rates (ABl. L 317 vom 23.11.2016, S. 4; L 35 vom 7.2.2020, S. 51), die durch die Verordnung (EU) 2017/625 (ABl. L 95 vom 7.4.2017, S. 1; L 137 vom 24.5.2017, S. 40; L 322 vom 18.12.2018, S. 85) geändert worden ist, in der jeweils geltenden Fassung.</w:t>
      </w:r>
    </w:p>
    <w:p>
      <w:r>
        <w:rPr>
          <w:color w:val="555555"/>
          <w:sz w:val="17"/>
        </w:rPr>
        <w:t xml:space="preserve">Zitiervorschlag: § 2 RebPflV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https://recht.nulegal.eu/gesetze/RebPflV%201986/2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