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RebPflV 1986 — Pflanzenpass</w:t>
      </w:r>
    </w:p>
    <w:p>
      <w:r>
        <w:rPr>
          <w:color w:val="555555"/>
          <w:sz w:val="18"/>
        </w:rPr>
        <w:t xml:space="preserve">Rebenpflanzgutverordnung</w:t>
      </w:r>
    </w:p>
    <w:p>
      <w:r>
        <w:rPr>
          <w:color w:val="555555"/>
          <w:sz w:val="18"/>
        </w:rPr>
        <w:t xml:space="preserve">Stand: 09.12.2020 (konsolidierte Textfassung, kein amtliches Inkrafttretensdatum)</w:t>
      </w:r>
    </w:p>
    <w:p>
      <w:r>
        <w:t xml:space="preserve">(1) Für Pflanzgut, für das in dieser Verordnung besondere Anforderungen hinsichtlich des Befalls mit RNQPs vorgeschrieben sind, bleiben die folgenden Vorschriften unberührt:</w:t>
      </w:r>
    </w:p>
    <w:p>
      <w:pPr>
        <w:ind w:left="420"/>
      </w:pPr>
      <w:r>
        <w:t xml:space="preserve">1. die Vorschriften der Verordnung (EU) 2016/2031,</w:t>
      </w:r>
    </w:p>
    <w:p>
      <w:pPr>
        <w:ind w:left="420"/>
      </w:pPr>
      <w:r>
        <w:t xml:space="preserve">2. die Vorschriften der Durchführungsverordnung (EU) 2017/2313 der Kommission vom 13. Dezember 2017 zur Festlegung der formalen Anforderungen an den Pflanzenpass für die Verbringung innerhalb des Gebiets der Union und den Pflanzenpass für das Einführen in ein Schutzgebiet und die Verbringung innerhalb dieses Gebiets (ABl. L 331 vom 14.12.2017, S. 44) in der jeweils geltenden Fassung und</w:t>
      </w:r>
    </w:p>
    <w:p>
      <w:pPr>
        <w:ind w:left="420"/>
      </w:pPr>
      <w:r>
        <w:t xml:space="preserve">3. die Vorschriften der Durchführungsverordnung (EU) 2019/2072 der Kommission vom 28. November 2019 zur Festlegung einheitlicher Bedingungen für die Durchführung der Verordnung (EU) 2016/2031 des Europäischen Parlaments und des Rates in Bezug auf Maßnahmen zum Schutz vor Pflanzenschädlingen und zur Aufhebung der Verordnung (EG) Nr. 690/2008 der Kommission sowie zur Änderung der Durchführungsverordnung (EU) 2018/2019 der Kommission (ABl. L 319 vom 10.12.2019, S. 1) in der jeweils geltenden Fassung.</w:t>
      </w:r>
    </w:p>
    <w:p>
      <w:r>
        <w:t xml:space="preserve">Dies gilt insbesondere für die Vorschriften der in Satz 1 genannten Rechtsakte, nach denen bei Pflanzgut, das als Vorstufenpflanzgut, Basispflanzgut, Zertifiziertes Pflanzgut oder Standardpflanzgut erzeugt oder auf dem Markt bereitgestellt werden soll, der Pflanzenpass mit dem amtlichen Etikett kombiniert wird.</w:t>
      </w:r>
    </w:p>
    <w:p>
      <w:r>
        <w:t xml:space="preserve">(2) Der Pflanzenpass wird durch die zuständige Behörde ausgestellt und nach den Vorgaben der in Absatz 1 genannten Rechtsakte mit dem amtlichen Etikett zu einem gemeinsamen Etikett zusammengefasst. Das gemeinsame Etikett enthält die nach den in Absatz 1 genannten Rechtsakten erforderlichen Angaben.</w:t>
      </w:r>
    </w:p>
    <w:p>
      <w:r>
        <w:t xml:space="preserve">(3) Ein Pflanzenpass ist auch Voraussetzung für das Inverkehrbringen von Pflanzgut von Zierreben und Tafeltrauben. Das Pflanzgut muss hinsichtlich des Befalls mit den in Anlage 1 Nummer 2.1 aufgeführten RNQPs die an Standardpflanzgut gestellten Anforderungen erfüllen. Beim Inverkehrbringen ist dieses Pflanzgut mit einem Pflanzenpass zu kennzeichnen, der die nach den in Absatz 1 genannten Rechtsakten erforderlichen Angaben enthält. Sofern in einem Unternehmen oder auf Produktionsstätten sowohl anerkanntes Pflanzgut als auch Pflanzgut von Zierreben oder Tafeltrauben hergestellt oder vermehrt wird, ist der Pflanzenpass von der zuständigen Behörde auszustellen.</w:t>
      </w:r>
    </w:p>
    <w:p>
      <w:r>
        <w:rPr>
          <w:color w:val="555555"/>
          <w:sz w:val="17"/>
        </w:rPr>
        <w:t xml:space="preserve">Zitiervorschlag: § 17a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