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RebPflV 1986 — Etikett</w:t>
      </w:r>
    </w:p>
    <w:p>
      <w:r>
        <w:rPr>
          <w:color w:val="555555"/>
          <w:sz w:val="18"/>
        </w:rPr>
        <w:t xml:space="preserve">Rebenpflanzgutverordnung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Vor der Beschaffenheitsprüfung nach § 11 ist jede Packung oder jedes Bündel Pflanzgutes durch den Antragsteller oder den von ihm Beauftragten mit einem Etikett zu kennzeichnen.</w:t>
      </w:r>
    </w:p>
    <w:p>
      <w:r>
        <w:t xml:space="preserve">(2) Das Etikett muß aus wasserfestem und reißfestem Material bestehen, die jeweilige Kennfarbe haben und als unverwischbaren Aufdruck die jeweiligen Angaben nach Anlage 4 enthalten; sie können auch zusätzlich in anderen Sprachen gemacht werden.</w:t>
      </w:r>
    </w:p>
    <w:p>
      <w:r>
        <w:t xml:space="preserve">(3) (weggefallen)</w:t>
      </w:r>
    </w:p>
    <w:p>
      <w:r>
        <w:rPr>
          <w:color w:val="555555"/>
          <w:sz w:val="17"/>
        </w:rPr>
        <w:t xml:space="preserve">Zitiervorschlag: § 17 RebPflV 1986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https://recht.nulegal.eu/gesetze/RebPflV%201986/17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