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RebPflV 1986 — Rücknahme der Anerkennung</w:t>
      </w:r>
    </w:p>
    <w:p>
      <w:r>
        <w:rPr>
          <w:color w:val="555555"/>
          <w:sz w:val="18"/>
        </w:rPr>
        <w:t xml:space="preserve">Rebenpflanzgutverordnung</w:t>
      </w:r>
    </w:p>
    <w:p>
      <w:r>
        <w:rPr>
          <w:color w:val="555555"/>
          <w:sz w:val="18"/>
        </w:rPr>
        <w:t xml:space="preserve">Stand: 10.06.2019 (konsolidierte Textfassung, kein amtliches Inkrafttretensdatum)</w:t>
      </w:r>
    </w:p>
    <w:p>
      <w:r>
        <w:t xml:space="preserve">Wird auf Grund des Ergebnisses der Nachprüfung die Anerkennung zurückgenommen und ist der Antragsteller nicht mehr im Besitz des Pflanzgutes, so hat er der Anerkennungsstelle Namen und Anschrift desjenigen mitzuteilen, an den er das Pflanzgut abgegeben hat. Dies gilt entsprechend für den Erwerber dieses Pflanzgutes. Die Anerkennungsstelle, welche die Anerkennung zurückgenommen hat, hat die für den Besitzer des Pflanzgutes zuständige Anerkennungsstelle unter Angabe der Pflanzgutart (§ 2 Nr. 1), der Sortenbezeichnung und der Bezeichnung des Klones sowie der Anerkennungsnummer oder Betriebsnummer des Erzeugers von der Rücknahme zu unterrichten.</w:t>
      </w:r>
    </w:p>
    <w:p>
      <w:r>
        <w:rPr>
          <w:color w:val="555555"/>
          <w:sz w:val="17"/>
        </w:rPr>
        <w:t xml:space="preserve">Zitiervorschlag: § 15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