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RealStÜG (Brandenburg) — Inkrafttreten, Außerkrafttreten</w:t>
      </w:r>
    </w:p>
    <w:p>
      <w:r>
        <w:rPr>
          <w:color w:val="555555"/>
          <w:sz w:val="18"/>
        </w:rPr>
        <w:t xml:space="preserve">Realsteuerverwaltungübertragungsgesetz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Dieses Gesetz tritt mit Wirkung vom 1.</w:t>
      </w:r>
    </w:p>
    <w:p>
      <w:r>
        <w:t xml:space="preserve">Januar 1996 in Kraft.</w:t>
      </w:r>
    </w:p>
    <w:p>
      <w:r>
        <w:t xml:space="preserve">(2) Mit Inkrafttreten dieses Gesetzes tritt</w:t>
      </w:r>
    </w:p>
    <w:p>
      <w:r>
        <w:t xml:space="preserve">das Gesetz zur Übertragung der Verwaltung der Gewerbesteuer auf die Gemeinden</w:t>
      </w:r>
    </w:p>
    <w:p>
      <w:r>
        <w:t xml:space="preserve">vom 27. Juni 1991 (GVBl. S. 208) außer Kraft.</w:t>
      </w:r>
    </w:p>
    <w:p>
      <w:r>
        <w:t xml:space="preserve">Potsdam, den 12. April 1996</w:t>
      </w:r>
    </w:p>
    <w:p>
      <w:r>
        <w:t xml:space="preserve">Der Präsident des Landtages</w:t>
      </w:r>
    </w:p>
    <w:p>
      <w:r>
        <w:t xml:space="preserve">Brandenburg</w:t>
      </w:r>
    </w:p>
    <w:p>
      <w:r>
        <w:t xml:space="preserve">Dr. Herbert Knoblich</w:t>
      </w:r>
    </w:p>
    <w:p>
      <w:r>
        <w:rPr>
          <w:color w:val="555555"/>
          <w:sz w:val="17"/>
        </w:rPr>
        <w:t xml:space="preserve">Zitiervorschlag: § 2 RealStÜG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https://recht.nulegal.eu/gesetze/RealSt%C3%9CG/2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