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RealStÜG (Brandenburg) — Festsetzung und Erhebung</w:t>
      </w:r>
    </w:p>
    <w:p>
      <w:r>
        <w:rPr>
          <w:color w:val="555555"/>
          <w:sz w:val="18"/>
        </w:rPr>
        <w:t xml:space="preserve">Realsteuerverwaltungübertragungsgesetz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Festsetzung und Erhebung der</w:t>
      </w:r>
    </w:p>
    <w:p>
      <w:r>
        <w:t xml:space="preserve">Realsteuern (Grund- und Gewerbesteuer) sind die hebeberechtigten Gemeinden zuständig.</w:t>
      </w:r>
    </w:p>
    <w:p>
      <w:r>
        <w:t xml:space="preserve">(2) Das Finanzamt kann für die Bekanntgabe</w:t>
      </w:r>
    </w:p>
    <w:p>
      <w:r>
        <w:t xml:space="preserve">der Steuermeßbescheide die Hilfe der hebeberechtigten Gemeinden in Anspruch</w:t>
      </w:r>
    </w:p>
    <w:p>
      <w:r>
        <w:t xml:space="preserve">nehmen.</w:t>
      </w:r>
    </w:p>
    <w:p>
      <w:r>
        <w:rPr>
          <w:color w:val="555555"/>
          <w:sz w:val="17"/>
        </w:rPr>
        <w:t xml:space="preserve">Zitiervorschlag: § 1 RealStÜG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https://recht.nulegal.eu/gesetze/RealSt%C3%9CG/1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