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ReNoPatAusbV 2015</w:t>
      </w:r>
    </w:p>
    <w:p>
      <w:r>
        <w:rPr>
          <w:color w:val="555555"/>
          <w:sz w:val="18"/>
        </w:rPr>
        <w:t xml:space="preserve">ReNoPat-Ausbildungsverordnung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des Berufsbildungsgesetzes, der durch Artikel 232 Nummer 1 der Verordnung vom 31. Oktober 2006 (BGBl. I S. 2407) geändert worden ist, in Verbindung mit § 1 Absatz 2 des Zuständigkeitsanpassungsgesetzes vom 16. August 2002 (BGBl. I S. 3165) und dem Organisationserlass vom 17. Dezember 2013 (BGBl. I S. 4310) verordnet das Bundesministerium der Justiz und für Verbraucherschutz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ReNoPatAusbV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https://recht.nulegal.eu/gesetze/ReNoPatAusbV%202015/eingangsformel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