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ReNoPatAusb-FachEigV</w:t>
      </w:r>
    </w:p>
    <w:p>
      <w:r>
        <w:rPr>
          <w:color w:val="555555"/>
          <w:sz w:val="18"/>
        </w:rPr>
        <w:t xml:space="preserve">Verordnung über die fachliche Eignung für die Berufsausbildung der Fachangestellten in Rechtsanwalt- und Patentanwaltschaft, Notariat und bei Rechtsbeiständen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30 Abs. 4 Nr. 3 des Berufsbildungsgesetzes vom 23. März 2005 (BGBl. I S. 931) verordnet das Bundesministerium der Justiz nach Anhörung des Hauptausschusses des Bundesinstituts für Berufsbildung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ReNoPatAusb-FachEigV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https://recht.nulegal.eu/gesetze/ReNoPatAusb-FachEigV/eingangsformel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