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ReNoPatAusb-FachEigV</w:t>
      </w:r>
    </w:p>
    <w:p>
      <w:r>
        <w:rPr>
          <w:color w:val="555555"/>
          <w:sz w:val="18"/>
        </w:rPr>
        <w:t xml:space="preserve">Verordnung über die fachliche Eignung für die Berufsausbildung der Fachangestellten in Rechtsanwalt- und Patentanwaltschaft, Notariat und bei Rechtsbeiständen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tritt mit Wirkung vom 1. April 2005 in Kraft.</w:t>
      </w:r>
    </w:p>
    <w:p>
      <w:r>
        <w:rPr>
          <w:color w:val="555555"/>
          <w:sz w:val="17"/>
        </w:rPr>
        <w:t xml:space="preserve">Zitiervorschlag: § 2 ReNoPatAusb-FachEigV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https://recht.nulegal.eu/gesetze/ReNoPatAusb-FachEigV/2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