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ReHV — Steuerrechtliche Wirkung</w:t>
      </w:r>
    </w:p>
    <w:p>
      <w:r>
        <w:rPr>
          <w:color w:val="555555"/>
          <w:sz w:val="18"/>
        </w:rPr>
        <w:t xml:space="preserve">Rehabilitationshilfsfonds-Verordnung</w:t>
      </w:r>
    </w:p>
    <w:p>
      <w:r>
        <w:rPr>
          <w:color w:val="555555"/>
          <w:sz w:val="18"/>
        </w:rPr>
        <w:t xml:space="preserve">Historische Fassung: Stand 25.06.2023 bis 01.07.2024. Dies ist nicht die aktuelle Fassung.</w:t>
      </w:r>
    </w:p>
    <w:p>
      <w:r>
        <w:t xml:space="preserve">Die als Zuschuss nach den genannten Voraussetzungen bezogenen Leistungen sind als steuerbare Betriebseinnahmen nach den allgemeinen steuerrechtlichen Regelungen im Rahmen der Gewinnermittlung zu erfassen und unterliegen insofern der Besteuerung.</w:t>
      </w:r>
    </w:p>
    <w:p>
      <w:r>
        <w:rPr>
          <w:color w:val="555555"/>
          <w:sz w:val="17"/>
        </w:rPr>
        <w:t xml:space="preserve">Zitiervorschlag: § 5 ReHV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