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ReHV — Anwendungsbereich</w:t>
      </w:r>
    </w:p>
    <w:p>
      <w:r>
        <w:rPr>
          <w:color w:val="555555"/>
          <w:sz w:val="18"/>
        </w:rPr>
        <w:t xml:space="preserve">Rehabilitationshilfsfonds-Verordnung</w:t>
      </w:r>
    </w:p>
    <w:p>
      <w:r>
        <w:rPr>
          <w:color w:val="555555"/>
          <w:sz w:val="18"/>
        </w:rPr>
        <w:t xml:space="preserve">Historische Fassung: Stand 25.06.2023 bis 01.07.2024. Dies ist nicht die aktuelle Fassung.</w:t>
      </w:r>
    </w:p>
    <w:p>
      <w:r>
        <w:t xml:space="preserve">Diese Verordnung regelt das Nähere zu den konkreten Voraussetzungen des einmaligen Energiekostenzuschusses gemäß § 36a Absatz 1 des Neunten Buches Sozialgesetzbuch, das Verfahren zur Antragstellung und zum Nachweis der entstandenen Kosten.</w:t>
      </w:r>
    </w:p>
    <w:p>
      <w:r>
        <w:rPr>
          <w:color w:val="555555"/>
          <w:sz w:val="17"/>
        </w:rPr>
        <w:t xml:space="preserve">Zitiervorschlag: § 1 ReHV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