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RdFunkNG</w:t>
      </w:r>
    </w:p>
    <w:p>
      <w:r>
        <w:rPr>
          <w:color w:val="555555"/>
          <w:sz w:val="18"/>
        </w:rPr>
        <w:t xml:space="preserve">Rundfunkneuordnungsgesetz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4 RdFunkNG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https://recht.nulegal.eu/gesetze/RdFunkNG/4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