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RdFunkGÄndG 1 — Inkrafttreten</w:t>
      </w:r>
    </w:p>
    <w:p>
      <w:r>
        <w:rPr>
          <w:color w:val="555555"/>
          <w:sz w:val="18"/>
        </w:rPr>
        <w:t xml:space="preserve">Erstes Gesetz zur Änderung des Gesetzes über die Errichtung von Rundfunkanstalten des Bundesrechts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Art 5 RdFunkGÄndG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https://recht.nulegal.eu/gesetze/RdFunkG%C3%84ndG%201/5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