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RdFunkAuslG — Rückkehr zum einheitlichen Verordnungsrang</w:t>
      </w:r>
    </w:p>
    <w:p>
      <w:r>
        <w:rPr>
          <w:color w:val="555555"/>
          <w:sz w:val="18"/>
        </w:rPr>
        <w:t xml:space="preserve">Gesetz über den deutschen Auslandsrundfunk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51 der Wahlordnung zum Bundespersonalvertretungsgesetz kann auf Grund der Ermächtigung des § 115 Bundespersonalvertretungsgesetz durch Rechtsverordnung wieder geändert werden.</w:t>
      </w:r>
    </w:p>
    <w:p>
      <w:r>
        <w:rPr>
          <w:color w:val="555555"/>
          <w:sz w:val="17"/>
        </w:rPr>
        <w:t xml:space="preserve">Zitiervorschlag: § 3 RdFunkAuslG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https://recht.nulegal.eu/gesetze/RdFunkAuslG/3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