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RbGeldERAV</w:t>
      </w:r>
    </w:p>
    <w:p>
      <w:r>
        <w:rPr>
          <w:color w:val="555555"/>
          <w:sz w:val="18"/>
        </w:rPr>
        <w:t xml:space="preserve">Rahmenbeschluss-Geldsanktionen-E-Rechtsverkehrs-und-Aktenführungsverordnung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77b des Gesetzes über die internationale Rechtshilfe in Strafsachen, der durch Artikel 163 der Verordnung vom 31. August 2015 (BGBl. I S. 1474) geändert worden ist,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RbGeldERAV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https://recht.nulegal.eu/gesetze/RbGeldERAV/eingangsformel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