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RbGeldERAV — Inkrafttreten</w:t>
      </w:r>
    </w:p>
    <w:p>
      <w:r>
        <w:rPr>
          <w:color w:val="555555"/>
          <w:sz w:val="18"/>
        </w:rPr>
        <w:t xml:space="preserve">Rahmenbeschluss-Geldsanktionen-E-Rechtsverkehrs-und-Aktenführungsverordnung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RbGeldERAV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https://recht.nulegal.eu/gesetze/RbGeldERAV/7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