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RbGeldERAV — Zulassung der elektronischen Aktenführung</w:t>
      </w:r>
    </w:p>
    <w:p>
      <w:r>
        <w:rPr>
          <w:color w:val="555555"/>
          <w:sz w:val="18"/>
        </w:rPr>
        <w:t xml:space="preserve">Rahmenbeschluss-Geldsanktionen-E-Rechtsverkehrs-und-Aktenführungsverordnung</w:t>
      </w:r>
    </w:p>
    <w:p>
      <w:r>
        <w:rPr>
          <w:color w:val="555555"/>
          <w:sz w:val="18"/>
        </w:rPr>
        <w:t xml:space="preserve">Stand: 10.06.2019 (konsolidierte Textfassung, kein amtliches Inkrafttretensdatum)</w:t>
      </w:r>
    </w:p>
    <w:p>
      <w:r>
        <w:t xml:space="preserve">Das Bundesamt für Justiz kann ab dem 24. Oktober 2017 die Akten in Verfahren nach den §§ 86 bis 87p des Gesetzes über die internationale Rechtshilfe in Strafsachen einschließlich der Akten in Zwangsvollstreckungsverfahren elektronisch führen.</w:t>
      </w:r>
    </w:p>
    <w:p>
      <w:r>
        <w:rPr>
          <w:color w:val="555555"/>
          <w:sz w:val="17"/>
        </w:rPr>
        <w:t xml:space="preserve">Zitiervorschlag: § 4 RbGeldERAV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https://recht.nulegal.eu/gesetze/RbGeldERAV/4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