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RaumAAusbV 2004</w:t>
      </w:r>
    </w:p>
    <w:p>
      <w:r>
        <w:rPr>
          <w:color w:val="555555"/>
          <w:sz w:val="18"/>
        </w:rPr>
        <w:t xml:space="preserve">Verordnung über die Berufsausbildung zum Raumausstatter/zur Raumausstatterin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in Verbindung mit Abs. 2 Satz 1 der Handwerksordnung in der Fassung der Bekanntmachung vom 24. September 1998 (BGBl. I S. 3074), der zuletzt durch Artikel 1 Nr. 26 des Gesetzes vom 24. Dezember 2003 (BGBl. I S. 2934) geändert worden ist, verordnet das Bundesministerium für Wirtschaft und Arbeit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RaumAAusbV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https://recht.nulegal.eu/gesetze/RaumAAusbV%202004/eingangsformel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