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9a RaumAAusbV 2004 — Anrechnungsregelung</w:t>
      </w:r>
    </w:p>
    <w:p>
      <w:r>
        <w:rPr>
          <w:color w:val="555555"/>
          <w:sz w:val="18"/>
        </w:rPr>
        <w:t xml:space="preserve">Verordnung über die Berufsausbildung zum Raumausstatter/zur Raumausstatterin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Berufsausbildung nach dieser Verordnung können die in dem abgeschlossenen Ausbildungsberuf Polster- und Dekorationsnäher/ Polster- und Dekorationsnäherin erworbenen beruflichen Fertigkeiten, Kenntnisse und Fähigkeiten bis zum vollen Umfang der dort zurückgelegten Ausbildungszeit angerechnet werden; § 8 Abs. 1 und 2 des Berufsbildungsgesetzes bleibt unberührt.</w:t>
      </w:r>
    </w:p>
    <w:p>
      <w:r>
        <w:rPr>
          <w:color w:val="555555"/>
          <w:sz w:val="17"/>
        </w:rPr>
        <w:t xml:space="preserve">Zitiervorschlag: § 9a RaumAAusbV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https://recht.nulegal.eu/gesetze/RaumAAusbV%202004/9a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