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RadarPatEVB</w:t>
      </w:r>
    </w:p>
    <w:p>
      <w:r>
        <w:rPr>
          <w:color w:val="555555"/>
          <w:sz w:val="18"/>
        </w:rPr>
        <w:t xml:space="preserve">Verordnung über die Erteilung von Radarpatenten auf den Bundeswasserstraßen außerhalb des Rheins</w:t>
      </w:r>
    </w:p>
    <w:p>
      <w:r>
        <w:rPr>
          <w:color w:val="555555"/>
          <w:sz w:val="18"/>
        </w:rPr>
        <w:t xml:space="preserve">Historische Fassung: Stand 10.06.2019 bis 18.01.2022. Dies ist nicht die aktuelle Fassung.</w:t>
      </w:r>
    </w:p>
    <w:p>
      <w:r>
        <w:t xml:space="preserve">Das Bundesministerium für Verkehr, Bau- und Wohnungswesen verordnet auf Grund</w:t>
      </w:r>
    </w:p>
    <w:p>
      <w:pPr>
        <w:ind w:left="420"/>
      </w:pPr>
      <w:r>
        <w:t xml:space="preserve">- des § 3 Abs. 1 Nr. 6 und Abs. 6 des Binnenschifffahrtsaufgabengesetzes in der Fassung der Bekanntmachung vom 4. August 1986 (BGBl. I S. 1270), dessen Absatz 6 durch Artikel 3 Nr. 2 des Gesetzes vom 17. Dezember 1999 (BGBl. I S. 2452) neu gefasst worden ist, und</w:t>
      </w:r>
    </w:p>
    <w:p>
      <w:pPr>
        <w:ind w:left="420"/>
      </w:pPr>
      <w:r>
        <w:t xml:space="preserve">- des § 4 Abs. 2 Satz 1 und 3 des Binnenschifffahrtsaufgabengesetzes, der durch Artikel 3 Nr. 7 des Gesetzes vom 17. Dezember 1999 (BGBl. I S. 2452) geändert worden ist, in Verbindung mit dem 2. Abschnitt des Verwaltungskostengesetzes vom 23. Juni 1970 (BGBl. I S. 821), im Einvernehmen mit dem Bundesministerium der Finanzen:</w:t>
      </w:r>
    </w:p>
    <w:p>
      <w:r>
        <w:rPr>
          <w:color w:val="555555"/>
          <w:sz w:val="17"/>
        </w:rPr>
        <w:t xml:space="preserve">Zitiervorschlag: Eingangsformel RadarPatEVB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https://recht.nulegal.eu/gesetze/RadarPatEVB/eingangsformel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