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RadarPatEVB — Inkrafttreten</w:t>
      </w:r>
    </w:p>
    <w:p>
      <w:r>
        <w:rPr>
          <w:color w:val="555555"/>
          <w:sz w:val="18"/>
        </w:rPr>
        <w:t xml:space="preserve">Verordnung über die Erteilung von Radarpatenten auf den Bundeswasserstraßen außerhalb des Rheins</w:t>
      </w:r>
    </w:p>
    <w:p>
      <w:r>
        <w:rPr>
          <w:color w:val="555555"/>
          <w:sz w:val="18"/>
        </w:rPr>
        <w:t xml:space="preserve">Historische Fassung: Stand 10.06.2019 bis 18.01.2022. Dies ist nicht die aktuelle Fassung.</w:t>
      </w:r>
    </w:p>
    <w:p>
      <w:r>
        <w:t xml:space="preserve">Diese Verordnung tritt vorbehaltlich des Satzes 2 am Tage nach der Verkündung in Kraft. Artikel 1 tritt mit Wirkung vom 1. Januar 2000 in Kraft.</w:t>
      </w:r>
    </w:p>
    <w:p>
      <w:r>
        <w:rPr>
          <w:color w:val="555555"/>
          <w:sz w:val="17"/>
        </w:rPr>
        <w:t xml:space="preserve">Zitiervorschlag: Art 3 RadarPatEVB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https://recht.nulegal.eu/gesetze/RadarPatEVB/3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