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RadarPatEVB</w:t>
      </w:r>
    </w:p>
    <w:p>
      <w:r>
        <w:rPr>
          <w:color w:val="555555"/>
          <w:sz w:val="18"/>
        </w:rPr>
        <w:t xml:space="preserve">Verordnung über die Erteilung von Radarpatenten auf den Bundeswasserstraßen außerhalb des Rheins</w:t>
      </w:r>
    </w:p>
    <w:p>
      <w:r>
        <w:rPr>
          <w:color w:val="555555"/>
          <w:sz w:val="18"/>
        </w:rPr>
        <w:t xml:space="preserve">Historische Fassung: Stand 10.06.2019 bis 18.01.2022.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RadarPatEVB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https://recht.nulegal.eu/gesetze/RadarPatEVB/2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