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RadarPatEVB — Anwendungsbereich</w:t>
      </w:r>
    </w:p>
    <w:p>
      <w:r>
        <w:rPr>
          <w:color w:val="555555"/>
          <w:sz w:val="18"/>
        </w:rPr>
        <w:t xml:space="preserve">Verordnung über die Erteilung von Radarpatenten auf den Bundeswasserstraßen außerhalb des Rheins</w:t>
      </w:r>
    </w:p>
    <w:p>
      <w:r>
        <w:rPr>
          <w:color w:val="555555"/>
          <w:sz w:val="18"/>
        </w:rPr>
        <w:t xml:space="preserve">Historische Fassung: Stand 10.06.2019 bis 18.01.2022. Dies ist nicht die aktuelle Fassung.</w:t>
      </w:r>
    </w:p>
    <w:p>
      <w:r>
        <w:t xml:space="preserve">(1) Artikel 3 Absatz 15 bis 17, Artikel 5 Absatz 3 Nummer 2 und Absatz 5 Nummer 2, Artikel 6 Absatz 2, 3 Nummer 11 und Absatz 6 und Artikel 7 der Rheinschiffspersonaleinführungsverordnung vom 16. Dezember 2011 (BGBl. 2011 II S. 1300) sowie § 6.03 und Kapitel 8 der Schiffspersonalverordnung-Rhein vom 2. Juni 2010 (BGBl. 2011 II S. 1300, Anlageband) gelten auch auf den übrigen Bundeswasserstraßen nach § 1 Abs. 1 Nr. 2 des Binnenschifffahrtsaufgabengesetzes mit Ausnahme der Elbe im Bereich des Hamburger Hafens.</w:t>
      </w:r>
    </w:p>
    <w:p>
      <w:r>
        <w:t xml:space="preserve">(2) Diese Verordnung gilt nicht für Seeschiffe auf Seeschifffahrtsstraßen.</w:t>
      </w:r>
    </w:p>
    <w:p>
      <w:r>
        <w:rPr>
          <w:color w:val="555555"/>
          <w:sz w:val="17"/>
        </w:rPr>
        <w:t xml:space="preserve">Zitiervorschlag: Art 1 RadarPatEVB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https://recht.nulegal.eu/gesetze/RadarPatEVB/1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