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RWP-AÜVO (Nordrhein-Westfalen) — Ausschließlichkeit</w:t>
      </w:r>
    </w:p>
    <w:p>
      <w:r>
        <w:rPr>
          <w:color w:val="555555"/>
          <w:sz w:val="18"/>
        </w:rPr>
        <w:t xml:space="preserve">Regionales Wirtschaftsförderungsprogramm Aufgabenübertragungsverordnung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der Wahrnehmung der in § 1 aufgeführten Aufgaben und Geschäfte darf die Landesverwaltung Dritte nicht beauftragen. Die NRW.BANK darf sich bei der Erfüllung der Aufgaben und Geschäfte nach § 1 geeigneter Dritter bedienen.</w:t>
      </w:r>
    </w:p>
    <w:p>
      <w:r>
        <w:rPr>
          <w:color w:val="555555"/>
          <w:sz w:val="17"/>
        </w:rPr>
        <w:t xml:space="preserve">Zitiervorschlag: § 2 RWP-AÜVO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https://recht.nulegal.eu/gesetze/RWP-A%C3%9CVO/2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RWP-AÜVO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